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app.xml" Type="http://schemas.openxmlformats.org/officeDocument/2006/relationships/extended-properties"/><Relationship Id="rId3" Target="docProps/core.xml" Type="http://schemas.openxmlformats.org/package/2006/relationships/metadata/core-properties"/></Relationships>
</file>

<file path=word/document.xml><?xml version="1.0" encoding="utf-8"?>
<w:document xmlns:w="http://schemas.openxmlformats.org/wordprocessingml/2006/main">
  <w:body>
    <w:sdt>
      <w:sdtPr>
        <w:id w:val="4844945"/>
        <w:docPartObj>
          <w:docPartGallery w:val="Table of contents"/>
        </w:docPartObj>
      </w:sdtPr>
      <w:sdtEndPr>
        <w:rPr>
          <w:rFonts w:asciiTheme="minorHAnsi" w:eastAsiaTheme="minorHAnsi" w:hAnsiTheme="minorHAnsi" w:cstheme="minorBidi"/>
          <w:b w:val="off"/>
          <w:bCs w:val="off"/>
          <w:color w:val="auto"/>
          <w:sz w:val="24"/>
          <w:szCs w:val="24"/>
        </w:rPr>
      </w:sdtEndPr>
      <w:sdtContent>
        <w:p w:rsidR="3030454637453234" w:rsidRDefault="3030454637453234">
          <w:pPr>
            <w:pStyle w:val="TOCHeading"/>
            <w:jc w:val="center"/>
          </w:pPr>
          <w:r>
            <w:rPr>
              <w:rFonts w:ascii="宋体" w:eastAsia="宋体" w:hAnsi="宋体"/>
              <w:b w:val="true"/>
              <w:sz w:val="36"/>
            </w:rPr>
            <w:t> </w:t>
          </w:r>
        </w:p>
      </w:sdtContent>
    </w:sdt>
    <w:p>
      <w:pPr>
        <w:spacing w:before="0" w:after="0" w:beforeLines="50" w:afterLines="50" w:lineRule="auto" w:line="360"/>
        <w:jc w:val="center"/>
      </w:pPr>
      <w:bookmarkStart/>
      <w:r>
        <w:rPr>
          <w:rFonts w:eastAsia="仿宋_GB2312" w:ascii="仿宋_GB2312" w:hAnsi="仿宋_GB2312"/>
          <w:b w:val="false"/>
          <w:sz w:val="28"/>
        </w:rPr>
        <w:t>乌海银行股份有限公司“乌银利鑫系列”2024年第119期理财产品2024年第四季度报告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§1  重要提示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产品管理人保证本报告所载资料不存在虚假记载、误导性陈述或重大遗漏，并对其内容的真实性、准确性和完整性承担个别及连带责任。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产品托管人中国工商银行股份有限公司，已复核了本报告中的财务指标、净值表现和投资组合报告等内容，保证复核内容不存在虚假记载、误导性陈述或者重大遗漏。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本报告中财务资料未经审计。</w:t>
      </w:r>
    </w:p>
    <w:p>
      <w:pPr>
        <w:spacing w:before="0" w:after="0" w:beforeLines="50" w:afterLines="50" w:lineRule="exact" w:line="60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本报告期自2024年10月01日起至2024年12月31日止。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§2  产品概况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产品名称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“乌银利鑫系列”2024年第119期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产品登记编码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C1087724000117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固定收益类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报告期末产品存续规模（份）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30,500,000.00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收益类型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非保本浮动收益型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募集方式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公募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投资范围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本系列产品投资范围为境内市场的固定收益类金融工具包括国债、地方政府债券、中央银行票据、政府机构债券、金融债券、银行存款、大额存单、同业存单、同业借款、债券回购、公司信用类债券、资产支持证券、公募资产管理产品、其他债权类资产以及国务院银行业监督管理机构认可的其他资产。其中，固定收益类资产的投资比例不低于80%。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产品成立日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2024年10月16日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产品终止日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2025年04月23日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杠杆水平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100.24%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业绩比较基准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0.029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风险等级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R2（中低风险类）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产品管理人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乌海银行股份有限公司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产品托管人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中国工商银行股份有限公司</w:t>
            </w:r>
          </w:p>
        </w:tc>
      </w:tr>
      <w:tr>
        <w:trPr>
          <w:trHeight w:val="465"/>
        </w:trPr>
        <w:tc>
          <w:tcPr>
            <w:tcW w:w="2942"/>
            <w:vAlign w:val="center"/>
          </w:tcPr>
          <w:p>
            <w:r>
              <w:rPr>
                <w:b w:val="true"/>
                <w:sz w:val="24"/>
              </w:rPr>
              <w:rPr>
                <w:rFonts w:eastAsia="仿宋" w:ascii="仿宋" w:hAnsi="仿宋"/>
              </w:rPr>
              <w:t>币种</w:t>
            </w:r>
          </w:p>
        </w:tc>
        <w:tc>
          <w:tcPr>
            <w:tcW w:w="5579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人民币</w:t>
            </w:r>
          </w:p>
        </w:tc>
      </w:tr>
    </w:tbl>
    <w:p>
      <w:pPr>
        <w:spacing w:before="0" w:after="0" w:beforeLines="50" w:afterLines="0" w:lineRule="exact" w:line="360"/>
        <w:jc w:val="right"/>
      </w:pPr>
      <w:bookmarkStart/>
      <w:r>
        <w:rPr>
          <w:rFonts w:eastAsia="仿宋" w:ascii="仿宋" w:hAnsi="仿宋"/>
          <w:b w:val="false"/>
          <w:sz w:val="24"/>
        </w:rPr>
        <w:t>单位：人民币元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主要财务指标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报告期（2024年10月01日-2024年12月31日）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1.期末产品资产净值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30,690,477.43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2.期末产品份额净值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1.0062</w:t>
            </w:r>
          </w:p>
        </w:tc>
      </w:tr>
      <w:tr>
        <w:trPr>
          <w:trHeight w:val="465"/>
        </w:trPr>
        <w:tc>
          <w:tcPr>
            <w:tcW w:w="2942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3.期末产品份额累计净值</w:t>
            </w:r>
          </w:p>
        </w:tc>
        <w:tc>
          <w:tcPr>
            <w:tcW w:w="5579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1.0062</w:t>
            </w:r>
          </w:p>
        </w:tc>
      </w:tr>
    </w:tbl>
    <w:p>
      <w:pPr>
        <w:spacing w:before="0" w:after="0" w:beforeLines="50" w:afterLines="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2024年第四季度保持对市场的密切关注，运用多种方式为客户创造收益，平均年化收益率约为2.95%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§3  报告期内产品投资策略和运作分析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3.1 报告期内产品投资策略和运作分析</w:t>
      </w:r>
    </w:p>
    <w:p>
      <w:pPr>
        <w:spacing w:before="0" w:after="0" w:beforeLines="50" w:afterLines="50" w:lineRule="exact" w:line="360"/>
        <w:ind w:firstLine="440" w:firstLineChars="200" w:left="0" w:leftChars="0"/>
        <w:jc w:val="left"/>
      </w:pPr>
      <w:bookmarkStart/>
      <w:r>
        <w:rPr>
          <w:rFonts w:eastAsia="仿宋" w:ascii="仿宋" w:hAnsi="仿宋"/>
          <w:b w:val="false"/>
          <w:sz w:val="24"/>
        </w:rPr>
        <w:t>产品设立严格符合资管新规要求，投资策略为持有到期。产品自2024年10月16日成立以来，累计管理规模30,500,000.00元，截2024年12月31日，净值30,690,477.43。</w:t>
      </w:r>
    </w:p>
    <w:p>
      <w:pPr>
        <w:spacing w:before="0" w:after="0" w:beforeLines="50" w:afterLines="50" w:lineRule="auto" w:line="360"/>
        <w:jc w:val="center"/>
      </w:pPr>
      <w:bookmarkStart/>
      <w:r>
        <w:rPr>
          <w:rFonts w:eastAsia="黑体" w:ascii="黑体" w:hAnsi="黑体"/>
          <w:b w:val="false"/>
          <w:sz w:val="24"/>
        </w:rPr>
        <w:t>§4  投资组合报告</w:t>
      </w:r>
    </w:p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4.1 产品投资资产种类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rPr>
          <w:trHeight w:val="987"/>
        </w:trP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项目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占组合资产比例(%)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固定收益投资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20,344,547.95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66.13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其中：债券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20,344,547.95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66.13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　　　资产支持证券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权益投资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其中：股票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基金投资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4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资管计划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10,033,944.34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32.62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5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金融衍生品投资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6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买入返售金融资产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7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银行存款和结算备付金合计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386,300.71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1.26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8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其他资产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0.00</w:t>
            </w:r>
          </w:p>
        </w:tc>
      </w:tr>
      <w:tr>
        <w:tc>
          <w:tcPr>
            <w:tcW w:w="709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 xml:space="preserve"> </w:t>
            </w:r>
          </w:p>
        </w:tc>
        <w:tc>
          <w:tcPr>
            <w:tcW w:w="3544"/>
            <w:vAlign w:val="center"/>
          </w:tcPr>
          <w:p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合计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30,764,793.00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100.00</w:t>
            </w:r>
          </w:p>
        </w:tc>
      </w:tr>
    </w:tbl>
    <w:p>
      <w:pPr>
        <w:spacing w:before="0" w:after="0" w:beforeLines="50" w:afterLines="0" w:lineRule="auto" w:line="360"/>
        <w:jc w:val="left"/>
      </w:pPr>
      <w:bookmarkStart/>
      <w:r>
        <w:rPr>
          <w:rFonts w:eastAsia="黑体" w:ascii="黑体" w:hAnsi="黑体"/>
          <w:b w:val="false"/>
          <w:sz w:val="24"/>
        </w:rPr>
        <w:t>4.2 前十大资产持仓情况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  <w:tblBorders>
          <w:top w:sz="5"/>
          <w:left w:sz="5"/>
          <w:bottom w:sz="5"/>
          <w:right w:sz="5"/>
          <w:insideH w:sz="5"/>
          <w:insideV w:sz="5"/>
        </w:tblBorders>
        <w:tblCellMar>
          <w:left w:type="dxa" w:w="108"/>
          <w:right w:type="dxa" w:w="108"/>
        </w:tblCellMar>
      </w:tblPr>
      <w:tr>
        <w:tc>
          <w:tcPr>
            <w:tcW w:w="709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序号</w:t>
            </w:r>
          </w:p>
        </w:tc>
        <w:tc>
          <w:tcPr>
            <w:tcW w:w="3544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资产名称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资产市值(元)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占比（%）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16庐江农商二级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20,344,547.95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66.13</w:t>
            </w:r>
          </w:p>
        </w:tc>
      </w:tr>
      <w:tr>
        <w:tc>
          <w:tcPr>
            <w:tcW w:w="709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2</w:t>
            </w:r>
          </w:p>
        </w:tc>
        <w:tc>
          <w:tcPr>
            <w:tcW w:w="3544"/>
            <w:vAlign w:val="center"/>
          </w:tcPr>
          <w:p>
            <w:pPr>
              <w:spacing/>
            </w:pPr>
            <w:r>
              <w:rPr>
                <w:b w:val="false"/>
                <w:sz w:val="24"/>
              </w:rPr>
              <w:rPr>
                <w:rFonts w:eastAsia="仿宋" w:ascii="仿宋" w:hAnsi="仿宋"/>
              </w:rPr>
              <w:t>武汉众邦同业20241115</w:t>
            </w:r>
          </w:p>
        </w:tc>
        <w:tc>
          <w:tcPr>
            <w:tcW w:w="2268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10,033,944.34</w:t>
            </w:r>
          </w:p>
        </w:tc>
        <w:tc>
          <w:tcPr>
            <w:tcW w:w="2126"/>
            <w:vAlign w:val="center"/>
          </w:tcPr>
          <w:tcPr>
            <w:vAlign w:val="center"/>
          </w:tcPr>
          <w:p>
            <w:pPr>
              <w:spacing w:beforeLines="50" w:afterLines="50" w:lineRule="auto" w:line="360"/>
            </w:pPr>
            <w:pPr>
              <w:jc w:val="center"/>
            </w:pPr>
            <w:r>
              <w:rPr>
                <w:b w:val="false"/>
                <w:sz w:val="24"/>
              </w:rPr>
              <w:rPr>
                <w:rFonts w:eastAsia="宋体" w:ascii="Times New Roman" w:hAnsi="宋体"/>
              </w:rPr>
              <w:t>32.62</w:t>
            </w:r>
          </w:p>
        </w:tc>
      </w:tr>
    </w:tbl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settings.xml" Type="http://schemas.openxmlformats.org/officeDocument/2006/relationships/settings"/></Relationships>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2025-01-08T03:15:47Z</dcterms:created>
  <dc:creator>Apache POI</dc:creator>
</cp:coreProperties>
</file>