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settings+xml" PartName="/word/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app.xml" Type="http://schemas.openxmlformats.org/officeDocument/2006/relationships/extended-properties"/><Relationship Id="rId3" Target="docProps/core.xml" Type="http://schemas.openxmlformats.org/package/2006/relationships/metadata/core-properties"/></Relationships>
</file>

<file path=word/document.xml><?xml version="1.0" encoding="utf-8"?>
<w:document xmlns:w="http://schemas.openxmlformats.org/wordprocessingml/2006/main">
  <w:body>
    <w:sdt>
      <w:sdtPr>
        <w:id w:val="4844945"/>
        <w:docPartObj>
          <w:docPartGallery w:val="Table of contents"/>
        </w:docPartObj>
      </w:sdtPr>
      <w:sdtEndPr>
        <w:rPr>
          <w:rFonts w:asciiTheme="minorHAnsi" w:eastAsiaTheme="minorHAnsi" w:hAnsiTheme="minorHAnsi" w:cstheme="minorBidi"/>
          <w:b w:val="off"/>
          <w:bCs w:val="off"/>
          <w:color w:val="auto"/>
          <w:sz w:val="24"/>
          <w:szCs w:val="24"/>
        </w:rPr>
      </w:sdtEndPr>
      <w:sdtContent>
        <w:p w:rsidR="3030454637453234" w:rsidRDefault="3030454637453234">
          <w:pPr>
            <w:pStyle w:val="TOCHeading"/>
            <w:jc w:val="center"/>
          </w:pPr>
          <w:r>
            <w:rPr>
              <w:rFonts w:ascii="宋体" w:eastAsia="宋体" w:hAnsi="宋体"/>
              <w:b w:val="true"/>
              <w:sz w:val="36"/>
            </w:rPr>
            <w:t> </w:t>
          </w:r>
        </w:p>
      </w:sdtContent>
    </w:sdt>
    <w:p>
      <w:pPr>
        <w:spacing w:before="0" w:after="0" w:beforeLines="50" w:afterLines="50" w:lineRule="auto" w:line="360"/>
        <w:jc w:val="center"/>
      </w:pPr>
      <w:bookmarkStart/>
      <w:r>
        <w:rPr>
          <w:rFonts w:eastAsia="仿宋_GB2312" w:ascii="仿宋_GB2312" w:hAnsi="仿宋_GB2312"/>
          <w:b w:val="false"/>
          <w:sz w:val="28"/>
        </w:rPr>
        <w:t>乌海银行股份有限公司“乌银利鑫系列”2024年第136期理财产品2024年第四季度报告</w:t>
      </w:r>
    </w:p>
    <w:p>
      <w:pPr>
        <w:spacing w:before="0" w:after="0" w:beforeLines="50" w:afterLines="50" w:lineRule="auto" w:line="360"/>
        <w:jc w:val="center"/>
      </w:pPr>
      <w:bookmarkStart/>
      <w:r>
        <w:rPr>
          <w:rFonts w:eastAsia="黑体" w:ascii="黑体" w:hAnsi="黑体"/>
          <w:b w:val="false"/>
          <w:sz w:val="24"/>
        </w:rPr>
        <w:t>§1  重要提示</w:t>
      </w:r>
    </w:p>
    <w:p>
      <w:pPr>
        <w:spacing w:before="0" w:after="0" w:beforeLines="50" w:afterLines="50" w:lineRule="exact" w:line="600"/>
        <w:ind w:firstLine="440" w:firstLineChars="200" w:left="0" w:leftChars="0"/>
        <w:jc w:val="left"/>
      </w:pPr>
      <w:bookmarkStart/>
      <w:r>
        <w:rPr>
          <w:rFonts w:eastAsia="仿宋" w:ascii="仿宋" w:hAnsi="仿宋"/>
          <w:b w:val="false"/>
          <w:sz w:val="24"/>
        </w:rPr>
        <w:t>产品管理人保证本报告所载资料不存在虚假记载、误导性陈述或重大遗漏，并对其内容的真实性、准确性和完整性承担个别及连带责任。</w:t>
      </w:r>
    </w:p>
    <w:p>
      <w:pPr>
        <w:spacing w:before="0" w:after="0" w:beforeLines="50" w:afterLines="50" w:lineRule="exact" w:line="600"/>
        <w:ind w:firstLine="440" w:firstLineChars="200" w:left="0" w:leftChars="0"/>
        <w:jc w:val="left"/>
      </w:pPr>
      <w:bookmarkStart/>
      <w:r>
        <w:rPr>
          <w:rFonts w:eastAsia="仿宋" w:ascii="仿宋" w:hAnsi="仿宋"/>
          <w:b w:val="false"/>
          <w:sz w:val="24"/>
        </w:rPr>
        <w:t>产品托管人中国工商银行股份有限公司，已复核了本报告中的财务指标、净值表现和投资组合报告等内容，保证复核内容不存在虚假记载、误导性陈述或者重大遗漏。</w:t>
      </w:r>
    </w:p>
    <w:p>
      <w:pPr>
        <w:spacing w:before="0" w:after="0" w:beforeLines="50" w:afterLines="50" w:lineRule="exact" w:line="600"/>
        <w:ind w:firstLine="440" w:firstLineChars="200" w:left="0" w:leftChars="0"/>
        <w:jc w:val="left"/>
      </w:pPr>
      <w:bookmarkStart/>
      <w:r>
        <w:rPr>
          <w:rFonts w:eastAsia="仿宋" w:ascii="仿宋" w:hAnsi="仿宋"/>
          <w:b w:val="false"/>
          <w:sz w:val="24"/>
        </w:rPr>
        <w:t>本报告中财务资料未经审计。</w:t>
      </w:r>
    </w:p>
    <w:p>
      <w:pPr>
        <w:spacing w:before="0" w:after="0" w:beforeLines="50" w:afterLines="50" w:lineRule="exact" w:line="600"/>
        <w:ind w:firstLine="440" w:firstLineChars="200" w:left="0" w:leftChars="0"/>
        <w:jc w:val="left"/>
      </w:pPr>
      <w:bookmarkStart/>
      <w:r>
        <w:rPr>
          <w:rFonts w:eastAsia="仿宋" w:ascii="仿宋" w:hAnsi="仿宋"/>
          <w:b w:val="false"/>
          <w:sz w:val="24"/>
        </w:rPr>
        <w:t>本报告期自2024年10月01日起至2024年12月31日止。</w:t>
      </w:r>
    </w:p>
    <w:p>
      <w:pPr>
        <w:spacing w:before="0" w:after="0" w:beforeLines="50" w:afterLines="50" w:lineRule="auto" w:line="360"/>
        <w:jc w:val="center"/>
      </w:pPr>
      <w:bookmarkStart/>
      <w:r>
        <w:rPr>
          <w:rFonts w:eastAsia="黑体" w:ascii="黑体" w:hAnsi="黑体"/>
          <w:b w:val="false"/>
          <w:sz w:val="24"/>
        </w:rPr>
        <w:t>§2  产品概况</w:t>
      </w:r>
    </w:p>
    <w:tbl>
      <w:tblPr>
        <w:tblW w:w="0" w:type="auto"/>
        <w:tblBorders>
          <w:top w:val="single"/>
          <w:left w:val="single"/>
          <w:bottom w:val="single"/>
          <w:right w:val="single"/>
          <w:insideH w:val="single"/>
          <w:insideV w:val="single"/>
        </w:tblBorders>
        <w:tblBorders>
          <w:top w:sz="5"/>
          <w:left w:sz="5"/>
          <w:bottom w:sz="5"/>
          <w:right w:sz="5"/>
          <w:insideH w:sz="5"/>
          <w:insideV w:sz="5"/>
        </w:tblBorders>
        <w:tblCellMar>
          <w:left w:type="dxa" w:w="108"/>
          <w:right w:type="dxa" w:w="108"/>
        </w:tblCellMar>
      </w:tblPr>
      <w:tr>
        <w:trPr>
          <w:trHeight w:val="465"/>
        </w:trPr>
        <w:tc>
          <w:tcPr>
            <w:tcW w:w="2942"/>
            <w:vAlign w:val="center"/>
          </w:tcPr>
          <w:p>
            <w:r>
              <w:rPr>
                <w:b w:val="true"/>
                <w:sz w:val="24"/>
              </w:rPr>
              <w:rPr>
                <w:rFonts w:eastAsia="仿宋" w:ascii="仿宋" w:hAnsi="仿宋"/>
              </w:rPr>
              <w:t>产品名称</w:t>
            </w:r>
          </w:p>
        </w:tc>
        <w:tc>
          <w:tcPr>
            <w:tcW w:w="5579"/>
            <w:vAlign w:val="center"/>
          </w:tcPr>
          <w:p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“乌银利鑫系列”2024年第136期</w:t>
            </w:r>
          </w:p>
        </w:tc>
      </w:tr>
      <w:tr>
        <w:trPr>
          <w:trHeight w:val="465"/>
        </w:trPr>
        <w:tc>
          <w:tcPr>
            <w:tcW w:w="2942"/>
            <w:vAlign w:val="center"/>
          </w:tcPr>
          <w:p>
            <w:r>
              <w:rPr>
                <w:b w:val="true"/>
                <w:sz w:val="24"/>
              </w:rPr>
              <w:rPr>
                <w:rFonts w:eastAsia="仿宋" w:ascii="仿宋" w:hAnsi="仿宋"/>
              </w:rPr>
              <w:t>产品登记编码</w:t>
            </w:r>
          </w:p>
        </w:tc>
        <w:tc>
          <w:tcPr>
            <w:tcW w:w="5579"/>
            <w:vAlign w:val="center"/>
          </w:tcPr>
          <w:p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C1087724000134</w:t>
            </w:r>
          </w:p>
        </w:tc>
      </w:tr>
      <w:tr>
        <w:trPr>
          <w:trHeight w:val="465"/>
        </w:trPr>
        <w:tc>
          <w:tcPr>
            <w:tcW w:w="2942"/>
            <w:vAlign w:val="center"/>
          </w:tcPr>
          <w:p>
            <w:r>
              <w:rPr>
                <w:b w:val="true"/>
                <w:sz w:val="24"/>
              </w:rPr>
              <w:rPr>
                <w:rFonts w:eastAsia="仿宋" w:ascii="仿宋" w:hAnsi="仿宋"/>
              </w:rPr>
              <w:t>产品类型</w:t>
            </w:r>
          </w:p>
        </w:tc>
        <w:tc>
          <w:tcPr>
            <w:tcW w:w="5579"/>
            <w:vAlign w:val="center"/>
          </w:tcPr>
          <w:p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固定收益类</w:t>
            </w:r>
          </w:p>
        </w:tc>
      </w:tr>
      <w:tr>
        <w:trPr>
          <w:trHeight w:val="465"/>
        </w:trPr>
        <w:tc>
          <w:tcPr>
            <w:tcW w:w="2942"/>
            <w:vAlign w:val="center"/>
          </w:tcPr>
          <w:p>
            <w:r>
              <w:rPr>
                <w:b w:val="true"/>
                <w:sz w:val="24"/>
              </w:rPr>
              <w:rPr>
                <w:rFonts w:eastAsia="仿宋" w:ascii="仿宋" w:hAnsi="仿宋"/>
              </w:rPr>
              <w:t>报告期末产品存续规模（份）</w:t>
            </w:r>
          </w:p>
        </w:tc>
        <w:tc>
          <w:tcPr>
            <w:tcW w:w="5579"/>
            <w:vAlign w:val="center"/>
          </w:tcPr>
          <w:p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23,100,000.00</w:t>
            </w:r>
          </w:p>
        </w:tc>
      </w:tr>
      <w:tr>
        <w:trPr>
          <w:trHeight w:val="465"/>
        </w:trPr>
        <w:tc>
          <w:tcPr>
            <w:tcW w:w="2942"/>
            <w:vAlign w:val="center"/>
          </w:tcPr>
          <w:p>
            <w:r>
              <w:rPr>
                <w:b w:val="true"/>
                <w:sz w:val="24"/>
              </w:rPr>
              <w:rPr>
                <w:rFonts w:eastAsia="仿宋" w:ascii="仿宋" w:hAnsi="仿宋"/>
              </w:rPr>
              <w:t>收益类型</w:t>
            </w:r>
          </w:p>
        </w:tc>
        <w:tc>
          <w:tcPr>
            <w:tcW w:w="5579"/>
            <w:vAlign w:val="center"/>
          </w:tcPr>
          <w:p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非保本浮动收益型</w:t>
            </w:r>
          </w:p>
        </w:tc>
      </w:tr>
      <w:tr>
        <w:trPr>
          <w:trHeight w:val="465"/>
        </w:trPr>
        <w:tc>
          <w:tcPr>
            <w:tcW w:w="2942"/>
            <w:vAlign w:val="center"/>
          </w:tcPr>
          <w:p>
            <w:r>
              <w:rPr>
                <w:b w:val="true"/>
                <w:sz w:val="24"/>
              </w:rPr>
              <w:rPr>
                <w:rFonts w:eastAsia="仿宋" w:ascii="仿宋" w:hAnsi="仿宋"/>
              </w:rPr>
              <w:t>募集方式</w:t>
            </w:r>
          </w:p>
        </w:tc>
        <w:tc>
          <w:tcPr>
            <w:tcW w:w="5579"/>
            <w:vAlign w:val="center"/>
          </w:tcPr>
          <w:p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公募</w:t>
            </w:r>
          </w:p>
        </w:tc>
      </w:tr>
      <w:tr>
        <w:trPr>
          <w:trHeight w:val="465"/>
        </w:trPr>
        <w:tc>
          <w:tcPr>
            <w:tcW w:w="2942"/>
            <w:vAlign w:val="center"/>
          </w:tcPr>
          <w:p>
            <w:r>
              <w:rPr>
                <w:b w:val="true"/>
                <w:sz w:val="24"/>
              </w:rPr>
              <w:rPr>
                <w:rFonts w:eastAsia="仿宋" w:ascii="仿宋" w:hAnsi="仿宋"/>
              </w:rPr>
              <w:t>投资范围</w:t>
            </w:r>
          </w:p>
        </w:tc>
        <w:tc>
          <w:tcPr>
            <w:tcW w:w="5579"/>
            <w:vAlign w:val="center"/>
          </w:tcPr>
          <w:p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本系列产品投资范围为境内市场的固定收益类金融工具包括国债、地方政府债券、中央银行票据、政府机构债券、金融债券、银行存款、大额存单、同业存单、同业借款、债券回购、公司信用类债券、资产支持证券、公募资产管理产品、其他债权类资产以及国务院银行业监督管理机构认可的其他资产。其中，固定收益类资产的投资比例不低于80%。</w:t>
            </w:r>
          </w:p>
        </w:tc>
      </w:tr>
      <w:tr>
        <w:trPr>
          <w:trHeight w:val="465"/>
        </w:trPr>
        <w:tc>
          <w:tcPr>
            <w:tcW w:w="2942"/>
            <w:vAlign w:val="center"/>
          </w:tcPr>
          <w:p>
            <w:r>
              <w:rPr>
                <w:b w:val="true"/>
                <w:sz w:val="24"/>
              </w:rPr>
              <w:rPr>
                <w:rFonts w:eastAsia="仿宋" w:ascii="仿宋" w:hAnsi="仿宋"/>
              </w:rPr>
              <w:t>产品成立日</w:t>
            </w:r>
          </w:p>
        </w:tc>
        <w:tc>
          <w:tcPr>
            <w:tcW w:w="5579"/>
            <w:vAlign w:val="center"/>
          </w:tcPr>
          <w:p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2024年11月27日</w:t>
            </w:r>
          </w:p>
        </w:tc>
      </w:tr>
      <w:tr>
        <w:trPr>
          <w:trHeight w:val="465"/>
        </w:trPr>
        <w:tc>
          <w:tcPr>
            <w:tcW w:w="2942"/>
            <w:vAlign w:val="center"/>
          </w:tcPr>
          <w:p>
            <w:r>
              <w:rPr>
                <w:b w:val="true"/>
                <w:sz w:val="24"/>
              </w:rPr>
              <w:rPr>
                <w:rFonts w:eastAsia="仿宋" w:ascii="仿宋" w:hAnsi="仿宋"/>
              </w:rPr>
              <w:t>产品终止日</w:t>
            </w:r>
          </w:p>
        </w:tc>
        <w:tc>
          <w:tcPr>
            <w:tcW w:w="5579"/>
            <w:vAlign w:val="center"/>
          </w:tcPr>
          <w:p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2025年03月19日</w:t>
            </w:r>
          </w:p>
        </w:tc>
      </w:tr>
      <w:tr>
        <w:trPr>
          <w:trHeight w:val="465"/>
        </w:trPr>
        <w:tc>
          <w:tcPr>
            <w:tcW w:w="2942"/>
            <w:vAlign w:val="center"/>
          </w:tcPr>
          <w:p>
            <w:r>
              <w:rPr>
                <w:b w:val="true"/>
                <w:sz w:val="24"/>
              </w:rPr>
              <w:rPr>
                <w:rFonts w:eastAsia="仿宋" w:ascii="仿宋" w:hAnsi="仿宋"/>
              </w:rPr>
              <w:t>杠杆水平</w:t>
            </w:r>
          </w:p>
        </w:tc>
        <w:tc>
          <w:tcPr>
            <w:tcW w:w="5579"/>
            <w:vAlign w:val="center"/>
          </w:tcPr>
          <w:p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100.15%</w:t>
            </w:r>
          </w:p>
        </w:tc>
      </w:tr>
      <w:tr>
        <w:trPr>
          <w:trHeight w:val="465"/>
        </w:trPr>
        <w:tc>
          <w:tcPr>
            <w:tcW w:w="2942"/>
            <w:vAlign w:val="center"/>
          </w:tcPr>
          <w:p>
            <w:r>
              <w:rPr>
                <w:b w:val="true"/>
                <w:sz w:val="24"/>
              </w:rPr>
              <w:rPr>
                <w:rFonts w:eastAsia="仿宋" w:ascii="仿宋" w:hAnsi="仿宋"/>
              </w:rPr>
              <w:t>业绩比较基准</w:t>
            </w:r>
          </w:p>
        </w:tc>
        <w:tc>
          <w:tcPr>
            <w:tcW w:w="5579"/>
            <w:vAlign w:val="center"/>
          </w:tcPr>
          <w:p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0.025</w:t>
            </w:r>
          </w:p>
        </w:tc>
      </w:tr>
      <w:tr>
        <w:trPr>
          <w:trHeight w:val="465"/>
        </w:trPr>
        <w:tc>
          <w:tcPr>
            <w:tcW w:w="2942"/>
            <w:vAlign w:val="center"/>
          </w:tcPr>
          <w:p>
            <w:r>
              <w:rPr>
                <w:b w:val="true"/>
                <w:sz w:val="24"/>
              </w:rPr>
              <w:rPr>
                <w:rFonts w:eastAsia="仿宋" w:ascii="仿宋" w:hAnsi="仿宋"/>
              </w:rPr>
              <w:t>风险等级</w:t>
            </w:r>
          </w:p>
        </w:tc>
        <w:tc>
          <w:tcPr>
            <w:tcW w:w="5579"/>
            <w:vAlign w:val="center"/>
          </w:tcPr>
          <w:p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R2（中低风险类）</w:t>
            </w:r>
          </w:p>
        </w:tc>
      </w:tr>
      <w:tr>
        <w:trPr>
          <w:trHeight w:val="465"/>
        </w:trPr>
        <w:tc>
          <w:tcPr>
            <w:tcW w:w="2942"/>
            <w:vAlign w:val="center"/>
          </w:tcPr>
          <w:p>
            <w:r>
              <w:rPr>
                <w:b w:val="true"/>
                <w:sz w:val="24"/>
              </w:rPr>
              <w:rPr>
                <w:rFonts w:eastAsia="仿宋" w:ascii="仿宋" w:hAnsi="仿宋"/>
              </w:rPr>
              <w:t>产品管理人</w:t>
            </w:r>
          </w:p>
        </w:tc>
        <w:tc>
          <w:tcPr>
            <w:tcW w:w="5579"/>
            <w:vAlign w:val="center"/>
          </w:tcPr>
          <w:p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乌海银行股份有限公司</w:t>
            </w:r>
          </w:p>
        </w:tc>
      </w:tr>
      <w:tr>
        <w:trPr>
          <w:trHeight w:val="465"/>
        </w:trPr>
        <w:tc>
          <w:tcPr>
            <w:tcW w:w="2942"/>
            <w:vAlign w:val="center"/>
          </w:tcPr>
          <w:p>
            <w:r>
              <w:rPr>
                <w:b w:val="true"/>
                <w:sz w:val="24"/>
              </w:rPr>
              <w:rPr>
                <w:rFonts w:eastAsia="仿宋" w:ascii="仿宋" w:hAnsi="仿宋"/>
              </w:rPr>
              <w:t>产品托管人</w:t>
            </w:r>
          </w:p>
        </w:tc>
        <w:tc>
          <w:tcPr>
            <w:tcW w:w="5579"/>
            <w:vAlign w:val="center"/>
          </w:tcPr>
          <w:p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中国工商银行股份有限公司</w:t>
            </w:r>
          </w:p>
        </w:tc>
      </w:tr>
      <w:tr>
        <w:trPr>
          <w:trHeight w:val="465"/>
        </w:trPr>
        <w:tc>
          <w:tcPr>
            <w:tcW w:w="2942"/>
            <w:vAlign w:val="center"/>
          </w:tcPr>
          <w:p>
            <w:r>
              <w:rPr>
                <w:b w:val="true"/>
                <w:sz w:val="24"/>
              </w:rPr>
              <w:rPr>
                <w:rFonts w:eastAsia="仿宋" w:ascii="仿宋" w:hAnsi="仿宋"/>
              </w:rPr>
              <w:t>币种</w:t>
            </w:r>
          </w:p>
        </w:tc>
        <w:tc>
          <w:tcPr>
            <w:tcW w:w="5579"/>
            <w:vAlign w:val="center"/>
          </w:tcPr>
          <w:p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人民币</w:t>
            </w:r>
          </w:p>
        </w:tc>
      </w:tr>
    </w:tbl>
    <w:p>
      <w:pPr>
        <w:spacing w:before="0" w:after="0" w:beforeLines="50" w:afterLines="0" w:lineRule="exact" w:line="360"/>
        <w:jc w:val="right"/>
      </w:pPr>
      <w:bookmarkStart/>
      <w:r>
        <w:rPr>
          <w:rFonts w:eastAsia="仿宋" w:ascii="仿宋" w:hAnsi="仿宋"/>
          <w:b w:val="false"/>
          <w:sz w:val="24"/>
        </w:rPr>
        <w:t>单位：人民币元</w:t>
      </w:r>
    </w:p>
    <w:tbl>
      <w:tblPr>
        <w:tblW w:w="0" w:type="auto"/>
        <w:tblBorders>
          <w:top w:val="single"/>
          <w:left w:val="single"/>
          <w:bottom w:val="single"/>
          <w:right w:val="single"/>
          <w:insideH w:val="single"/>
          <w:insideV w:val="single"/>
        </w:tblBorders>
        <w:tblBorders>
          <w:top w:sz="5"/>
          <w:left w:sz="5"/>
          <w:bottom w:sz="5"/>
          <w:right w:sz="5"/>
          <w:insideH w:sz="5"/>
          <w:insideV w:sz="5"/>
        </w:tblBorders>
        <w:tblCellMar>
          <w:left w:type="dxa" w:w="108"/>
          <w:right w:type="dxa" w:w="108"/>
        </w:tblCellMar>
      </w:tblPr>
      <w:tr>
        <w:trPr>
          <w:trHeight w:val="465"/>
        </w:trPr>
        <w:tc>
          <w:tcPr>
            <w:tcW w:w="2942"/>
          </w:tcPr>
          <w:p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主要财务指标</w:t>
            </w:r>
          </w:p>
        </w:tc>
        <w:tc>
          <w:tcPr>
            <w:tcW w:w="5579"/>
          </w:tcPr>
          <w:p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报告期（2024年10月01日-2024年12月31日）</w:t>
            </w:r>
          </w:p>
        </w:tc>
      </w:tr>
      <w:tr>
        <w:trPr>
          <w:trHeight w:val="465"/>
        </w:trPr>
        <w:tc>
          <w:tcPr>
            <w:tcW w:w="2942"/>
          </w:tcPr>
          <w:p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1.期末产品资产净值</w:t>
            </w:r>
          </w:p>
        </w:tc>
        <w:tc>
          <w:tcPr>
            <w:tcW w:w="5579"/>
          </w:tcPr>
          <w:p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23,157,234.63</w:t>
            </w:r>
          </w:p>
        </w:tc>
      </w:tr>
      <w:tr>
        <w:trPr>
          <w:trHeight w:val="465"/>
        </w:trPr>
        <w:tc>
          <w:tcPr>
            <w:tcW w:w="2942"/>
          </w:tcPr>
          <w:p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2.期末产品份额净值</w:t>
            </w:r>
          </w:p>
        </w:tc>
        <w:tc>
          <w:tcPr>
            <w:tcW w:w="5579"/>
          </w:tcPr>
          <w:p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1.0025</w:t>
            </w:r>
          </w:p>
        </w:tc>
      </w:tr>
      <w:tr>
        <w:trPr>
          <w:trHeight w:val="465"/>
        </w:trPr>
        <w:tc>
          <w:tcPr>
            <w:tcW w:w="2942"/>
          </w:tcPr>
          <w:p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3.期末产品份额累计净值</w:t>
            </w:r>
          </w:p>
        </w:tc>
        <w:tc>
          <w:tcPr>
            <w:tcW w:w="5579"/>
          </w:tcPr>
          <w:p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1.0025</w:t>
            </w:r>
          </w:p>
        </w:tc>
      </w:tr>
    </w:tbl>
    <w:p>
      <w:pPr>
        <w:spacing w:before="0" w:after="0" w:beforeLines="50" w:afterLines="0" w:lineRule="exact" w:line="360"/>
        <w:ind w:firstLine="440" w:firstLineChars="200" w:left="0" w:leftChars="0"/>
        <w:jc w:val="left"/>
      </w:pPr>
      <w:bookmarkStart/>
      <w:r>
        <w:rPr>
          <w:rFonts w:eastAsia="仿宋" w:ascii="仿宋" w:hAnsi="仿宋"/>
          <w:b w:val="false"/>
          <w:sz w:val="24"/>
        </w:rPr>
        <w:t>2024年第四季度保持对市场的密切关注，运用多种方式为客户创造收益，平均年化收益率约为2.61%</w:t>
      </w:r>
    </w:p>
    <w:p>
      <w:pPr>
        <w:spacing w:before="0" w:after="0" w:beforeLines="50" w:afterLines="50" w:lineRule="auto" w:line="360"/>
        <w:jc w:val="center"/>
      </w:pPr>
      <w:bookmarkStart/>
      <w:r>
        <w:rPr>
          <w:rFonts w:eastAsia="黑体" w:ascii="黑体" w:hAnsi="黑体"/>
          <w:b w:val="false"/>
          <w:sz w:val="24"/>
        </w:rPr>
        <w:t>§3  报告期内产品投资策略和运作分析</w:t>
      </w:r>
    </w:p>
    <w:p>
      <w:pPr>
        <w:spacing w:before="0" w:after="0" w:beforeLines="50" w:afterLines="0" w:lineRule="auto" w:line="360"/>
        <w:jc w:val="left"/>
      </w:pPr>
      <w:bookmarkStart/>
      <w:r>
        <w:rPr>
          <w:rFonts w:eastAsia="黑体" w:ascii="黑体" w:hAnsi="黑体"/>
          <w:b w:val="false"/>
          <w:sz w:val="24"/>
        </w:rPr>
        <w:t>3.1 报告期内产品投资策略和运作分析</w:t>
      </w:r>
    </w:p>
    <w:p>
      <w:pPr>
        <w:spacing w:before="0" w:after="0" w:beforeLines="50" w:afterLines="50" w:lineRule="exact" w:line="360"/>
        <w:ind w:firstLine="440" w:firstLineChars="200" w:left="0" w:leftChars="0"/>
        <w:jc w:val="left"/>
      </w:pPr>
      <w:bookmarkStart/>
      <w:r>
        <w:rPr>
          <w:rFonts w:eastAsia="仿宋" w:ascii="仿宋" w:hAnsi="仿宋"/>
          <w:b w:val="false"/>
          <w:sz w:val="24"/>
        </w:rPr>
        <w:t>产品设立严格符合资管新规要求，投资策略为持有到期。产品自2024年11月27日成立以来，累计管理规模23,100,000.00元，截2024年12月31日，净值23,157,234.63。</w:t>
      </w:r>
    </w:p>
    <w:p>
      <w:pPr>
        <w:spacing w:before="0" w:after="0" w:beforeLines="50" w:afterLines="50" w:lineRule="auto" w:line="360"/>
        <w:jc w:val="center"/>
      </w:pPr>
      <w:bookmarkStart/>
      <w:r>
        <w:rPr>
          <w:rFonts w:eastAsia="黑体" w:ascii="黑体" w:hAnsi="黑体"/>
          <w:b w:val="false"/>
          <w:sz w:val="24"/>
        </w:rPr>
        <w:t>§4  投资组合报告</w:t>
      </w:r>
    </w:p>
    <w:p>
      <w:pPr>
        <w:spacing w:before="0" w:after="0" w:beforeLines="50" w:afterLines="0" w:lineRule="auto" w:line="360"/>
        <w:jc w:val="left"/>
      </w:pPr>
      <w:bookmarkStart/>
      <w:r>
        <w:rPr>
          <w:rFonts w:eastAsia="黑体" w:ascii="黑体" w:hAnsi="黑体"/>
          <w:b w:val="false"/>
          <w:sz w:val="24"/>
        </w:rPr>
        <w:t>4.1 产品投资资产种类</w:t>
      </w:r>
    </w:p>
    <w:tbl>
      <w:tblPr>
        <w:tblW w:w="0" w:type="auto"/>
        <w:tblBorders>
          <w:top w:val="single"/>
          <w:left w:val="single"/>
          <w:bottom w:val="single"/>
          <w:right w:val="single"/>
          <w:insideH w:val="single"/>
          <w:insideV w:val="single"/>
        </w:tblBorders>
        <w:tblBorders>
          <w:top w:sz="5"/>
          <w:left w:sz="5"/>
          <w:bottom w:sz="5"/>
          <w:right w:sz="5"/>
          <w:insideH w:sz="5"/>
          <w:insideV w:sz="5"/>
        </w:tblBorders>
        <w:tblCellMar>
          <w:left w:type="dxa" w:w="108"/>
          <w:right w:type="dxa" w:w="108"/>
        </w:tblCellMar>
      </w:tblPr>
      <w:tr>
        <w:trPr>
          <w:trHeight w:val="987"/>
        </w:trPr>
        <w:tc>
          <w:tcPr>
            <w:tcW w:w="709"/>
            <w:vAlign w:val="center"/>
          </w:tcPr>
          <w:tcPr>
            <w:vAlign w:val="center"/>
          </w:tcPr>
          <w:p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序号</w:t>
            </w:r>
          </w:p>
        </w:tc>
        <w:tc>
          <w:tcPr>
            <w:tcW w:w="3544"/>
            <w:vAlign w:val="center"/>
          </w:tcPr>
          <w:tcPr>
            <w:vAlign w:val="center"/>
          </w:tcPr>
          <w:p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项目</w:t>
            </w:r>
          </w:p>
        </w:tc>
        <w:tc>
          <w:tcPr>
            <w:tcW w:w="2268"/>
            <w:vAlign w:val="center"/>
          </w:tcPr>
          <w:tcPr>
            <w:vAlign w:val="center"/>
          </w:tcPr>
          <w:p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市值(元)</w:t>
            </w:r>
          </w:p>
        </w:tc>
        <w:tc>
          <w:tcPr>
            <w:tcW w:w="2126"/>
            <w:vAlign w:val="center"/>
          </w:tcPr>
          <w:tcPr>
            <w:vAlign w:val="center"/>
          </w:tcPr>
          <w:p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占组合资产比例(%)</w:t>
            </w:r>
          </w:p>
        </w:tc>
      </w:tr>
      <w:tr>
        <w:tc>
          <w:tcPr>
            <w:tcW w:w="709"/>
            <w:vAlign w:val="center"/>
          </w:tcPr>
          <w:tcPr>
            <w:vAlign w:val="center"/>
          </w:tcPr>
          <w:p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1</w:t>
            </w:r>
          </w:p>
        </w:tc>
        <w:tc>
          <w:tcPr>
            <w:tcW w:w="3544"/>
            <w:vAlign w:val="center"/>
          </w:tcPr>
          <w:p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固定收益投资</w:t>
            </w:r>
          </w:p>
        </w:tc>
        <w:tc>
          <w:tcPr>
            <w:tcW w:w="2268"/>
            <w:vAlign w:val="center"/>
          </w:tcPr>
          <w:tcPr>
            <w:vAlign w:val="center"/>
          </w:tcPr>
          <w:p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23,108,509.76</w:t>
            </w:r>
          </w:p>
        </w:tc>
        <w:tc>
          <w:tcPr>
            <w:tcW w:w="2126"/>
            <w:vAlign w:val="center"/>
          </w:tcPr>
          <w:tcPr>
            <w:vAlign w:val="center"/>
          </w:tcPr>
          <w:p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99.64</w:t>
            </w:r>
          </w:p>
        </w:tc>
      </w:tr>
      <w:tr>
        <w:tc>
          <w:tcPr>
            <w:tcW w:w="709"/>
            <w:vAlign w:val="center"/>
          </w:tcPr>
          <w:tcPr>
            <w:vAlign w:val="center"/>
          </w:tcPr>
          <w:p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 xml:space="preserve"> </w:t>
            </w:r>
          </w:p>
        </w:tc>
        <w:tc>
          <w:tcPr>
            <w:tcW w:w="3544"/>
            <w:vAlign w:val="center"/>
          </w:tcPr>
          <w:p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其中：债券</w:t>
            </w:r>
          </w:p>
        </w:tc>
        <w:tc>
          <w:tcPr>
            <w:tcW w:w="2268"/>
            <w:vAlign w:val="center"/>
          </w:tcPr>
          <w:tcPr>
            <w:vAlign w:val="center"/>
          </w:tcPr>
          <w:p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23,108,509.76</w:t>
            </w:r>
          </w:p>
        </w:tc>
        <w:tc>
          <w:tcPr>
            <w:tcW w:w="2126"/>
            <w:vAlign w:val="center"/>
          </w:tcPr>
          <w:tcPr>
            <w:vAlign w:val="center"/>
          </w:tcPr>
          <w:p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99.64</w:t>
            </w:r>
          </w:p>
        </w:tc>
      </w:tr>
      <w:tr>
        <w:tc>
          <w:tcPr>
            <w:tcW w:w="709"/>
            <w:vAlign w:val="center"/>
          </w:tcPr>
          <w:tcPr>
            <w:vAlign w:val="center"/>
          </w:tcPr>
          <w:p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 xml:space="preserve"> </w:t>
            </w:r>
          </w:p>
        </w:tc>
        <w:tc>
          <w:tcPr>
            <w:tcW w:w="3544"/>
            <w:vAlign w:val="center"/>
          </w:tcPr>
          <w:p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 xml:space="preserve">　　　资产支持证券</w:t>
            </w:r>
          </w:p>
        </w:tc>
        <w:tc>
          <w:tcPr>
            <w:tcW w:w="2268"/>
            <w:vAlign w:val="center"/>
          </w:tcPr>
          <w:tcPr>
            <w:vAlign w:val="center"/>
          </w:tcPr>
          <w:p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0.00</w:t>
            </w:r>
          </w:p>
        </w:tc>
        <w:tc>
          <w:tcPr>
            <w:tcW w:w="2126"/>
            <w:vAlign w:val="center"/>
          </w:tcPr>
          <w:tcPr>
            <w:vAlign w:val="center"/>
          </w:tcPr>
          <w:p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0.00</w:t>
            </w:r>
          </w:p>
        </w:tc>
      </w:tr>
      <w:tr>
        <w:tc>
          <w:tcPr>
            <w:tcW w:w="709"/>
            <w:vAlign w:val="center"/>
          </w:tcPr>
          <w:tcPr>
            <w:vAlign w:val="center"/>
          </w:tcPr>
          <w:p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2</w:t>
            </w:r>
          </w:p>
        </w:tc>
        <w:tc>
          <w:tcPr>
            <w:tcW w:w="3544"/>
            <w:vAlign w:val="center"/>
          </w:tcPr>
          <w:p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权益投资</w:t>
            </w:r>
          </w:p>
        </w:tc>
        <w:tc>
          <w:tcPr>
            <w:tcW w:w="2268"/>
            <w:vAlign w:val="center"/>
          </w:tcPr>
          <w:tcPr>
            <w:vAlign w:val="center"/>
          </w:tcPr>
          <w:p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0.00</w:t>
            </w:r>
          </w:p>
        </w:tc>
        <w:tc>
          <w:tcPr>
            <w:tcW w:w="2126"/>
            <w:vAlign w:val="center"/>
          </w:tcPr>
          <w:tcPr>
            <w:vAlign w:val="center"/>
          </w:tcPr>
          <w:p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0.00</w:t>
            </w:r>
          </w:p>
        </w:tc>
      </w:tr>
      <w:tr>
        <w:tc>
          <w:tcPr>
            <w:tcW w:w="709"/>
            <w:vAlign w:val="center"/>
          </w:tcPr>
          <w:tcPr>
            <w:vAlign w:val="center"/>
          </w:tcPr>
          <w:p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 xml:space="preserve"> </w:t>
            </w:r>
          </w:p>
        </w:tc>
        <w:tc>
          <w:tcPr>
            <w:tcW w:w="3544"/>
            <w:vAlign w:val="center"/>
          </w:tcPr>
          <w:p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其中：股票</w:t>
            </w:r>
          </w:p>
        </w:tc>
        <w:tc>
          <w:tcPr>
            <w:tcW w:w="2268"/>
            <w:vAlign w:val="center"/>
          </w:tcPr>
          <w:tcPr>
            <w:vAlign w:val="center"/>
          </w:tcPr>
          <w:p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0.00</w:t>
            </w:r>
          </w:p>
        </w:tc>
        <w:tc>
          <w:tcPr>
            <w:tcW w:w="2126"/>
            <w:vAlign w:val="center"/>
          </w:tcPr>
          <w:tcPr>
            <w:vAlign w:val="center"/>
          </w:tcPr>
          <w:p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0.00</w:t>
            </w:r>
          </w:p>
        </w:tc>
      </w:tr>
      <w:tr>
        <w:tc>
          <w:tcPr>
            <w:tcW w:w="709"/>
            <w:vAlign w:val="center"/>
          </w:tcPr>
          <w:tcPr>
            <w:vAlign w:val="center"/>
          </w:tcPr>
          <w:p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3</w:t>
            </w:r>
          </w:p>
        </w:tc>
        <w:tc>
          <w:tcPr>
            <w:tcW w:w="3544"/>
            <w:vAlign w:val="center"/>
          </w:tcPr>
          <w:p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基金投资</w:t>
            </w:r>
          </w:p>
        </w:tc>
        <w:tc>
          <w:tcPr>
            <w:tcW w:w="2268"/>
            <w:vAlign w:val="center"/>
          </w:tcPr>
          <w:tcPr>
            <w:vAlign w:val="center"/>
          </w:tcPr>
          <w:p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0.00</w:t>
            </w:r>
          </w:p>
        </w:tc>
        <w:tc>
          <w:tcPr>
            <w:tcW w:w="2126"/>
            <w:vAlign w:val="center"/>
          </w:tcPr>
          <w:tcPr>
            <w:vAlign w:val="center"/>
          </w:tcPr>
          <w:p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0.00</w:t>
            </w:r>
          </w:p>
        </w:tc>
      </w:tr>
      <w:tr>
        <w:tc>
          <w:tcPr>
            <w:tcW w:w="709"/>
            <w:vAlign w:val="center"/>
          </w:tcPr>
          <w:tcPr>
            <w:vAlign w:val="center"/>
          </w:tcPr>
          <w:p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4</w:t>
            </w:r>
          </w:p>
        </w:tc>
        <w:tc>
          <w:tcPr>
            <w:tcW w:w="3544"/>
            <w:vAlign w:val="center"/>
          </w:tcPr>
          <w:p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资管计划</w:t>
            </w:r>
          </w:p>
        </w:tc>
        <w:tc>
          <w:tcPr>
            <w:tcW w:w="2268"/>
            <w:vAlign w:val="center"/>
          </w:tcPr>
          <w:tcPr>
            <w:vAlign w:val="center"/>
          </w:tcPr>
          <w:p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0.00</w:t>
            </w:r>
          </w:p>
        </w:tc>
        <w:tc>
          <w:tcPr>
            <w:tcW w:w="2126"/>
            <w:vAlign w:val="center"/>
          </w:tcPr>
          <w:tcPr>
            <w:vAlign w:val="center"/>
          </w:tcPr>
          <w:p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0.00</w:t>
            </w:r>
          </w:p>
        </w:tc>
      </w:tr>
      <w:tr>
        <w:tc>
          <w:tcPr>
            <w:tcW w:w="709"/>
            <w:vAlign w:val="center"/>
          </w:tcPr>
          <w:tcPr>
            <w:vAlign w:val="center"/>
          </w:tcPr>
          <w:p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5</w:t>
            </w:r>
          </w:p>
        </w:tc>
        <w:tc>
          <w:tcPr>
            <w:tcW w:w="3544"/>
            <w:vAlign w:val="center"/>
          </w:tcPr>
          <w:p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金融衍生品投资</w:t>
            </w:r>
          </w:p>
        </w:tc>
        <w:tc>
          <w:tcPr>
            <w:tcW w:w="2268"/>
            <w:vAlign w:val="center"/>
          </w:tcPr>
          <w:tcPr>
            <w:vAlign w:val="center"/>
          </w:tcPr>
          <w:p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0.00</w:t>
            </w:r>
          </w:p>
        </w:tc>
        <w:tc>
          <w:tcPr>
            <w:tcW w:w="2126"/>
            <w:vAlign w:val="center"/>
          </w:tcPr>
          <w:tcPr>
            <w:vAlign w:val="center"/>
          </w:tcPr>
          <w:p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0.00</w:t>
            </w:r>
          </w:p>
        </w:tc>
      </w:tr>
      <w:tr>
        <w:tc>
          <w:tcPr>
            <w:tcW w:w="709"/>
            <w:vAlign w:val="center"/>
          </w:tcPr>
          <w:tcPr>
            <w:vAlign w:val="center"/>
          </w:tcPr>
          <w:p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6</w:t>
            </w:r>
          </w:p>
        </w:tc>
        <w:tc>
          <w:tcPr>
            <w:tcW w:w="3544"/>
            <w:vAlign w:val="center"/>
          </w:tcPr>
          <w:p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买入返售金融资产</w:t>
            </w:r>
          </w:p>
        </w:tc>
        <w:tc>
          <w:tcPr>
            <w:tcW w:w="2268"/>
            <w:vAlign w:val="center"/>
          </w:tcPr>
          <w:tcPr>
            <w:vAlign w:val="center"/>
          </w:tcPr>
          <w:p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0.00</w:t>
            </w:r>
          </w:p>
        </w:tc>
        <w:tc>
          <w:tcPr>
            <w:tcW w:w="2126"/>
            <w:vAlign w:val="center"/>
          </w:tcPr>
          <w:tcPr>
            <w:vAlign w:val="center"/>
          </w:tcPr>
          <w:p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0.00</w:t>
            </w:r>
          </w:p>
        </w:tc>
      </w:tr>
      <w:tr>
        <w:tc>
          <w:tcPr>
            <w:tcW w:w="709"/>
            <w:vAlign w:val="center"/>
          </w:tcPr>
          <w:tcPr>
            <w:vAlign w:val="center"/>
          </w:tcPr>
          <w:p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7</w:t>
            </w:r>
          </w:p>
        </w:tc>
        <w:tc>
          <w:tcPr>
            <w:tcW w:w="3544"/>
            <w:vAlign w:val="center"/>
          </w:tcPr>
          <w:p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银行存款和结算备付金合计</w:t>
            </w:r>
          </w:p>
        </w:tc>
        <w:tc>
          <w:tcPr>
            <w:tcW w:w="2268"/>
            <w:vAlign w:val="center"/>
          </w:tcPr>
          <w:tcPr>
            <w:vAlign w:val="center"/>
          </w:tcPr>
          <w:p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84,202.44</w:t>
            </w:r>
          </w:p>
        </w:tc>
        <w:tc>
          <w:tcPr>
            <w:tcW w:w="2126"/>
            <w:vAlign w:val="center"/>
          </w:tcPr>
          <w:tcPr>
            <w:vAlign w:val="center"/>
          </w:tcPr>
          <w:p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0.36</w:t>
            </w:r>
          </w:p>
        </w:tc>
      </w:tr>
      <w:tr>
        <w:tc>
          <w:tcPr>
            <w:tcW w:w="709"/>
            <w:vAlign w:val="center"/>
          </w:tcPr>
          <w:tcPr>
            <w:vAlign w:val="center"/>
          </w:tcPr>
          <w:p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8</w:t>
            </w:r>
          </w:p>
        </w:tc>
        <w:tc>
          <w:tcPr>
            <w:tcW w:w="3544"/>
            <w:vAlign w:val="center"/>
          </w:tcPr>
          <w:p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其他资产</w:t>
            </w:r>
          </w:p>
        </w:tc>
        <w:tc>
          <w:tcPr>
            <w:tcW w:w="2268"/>
            <w:vAlign w:val="center"/>
          </w:tcPr>
          <w:tcPr>
            <w:vAlign w:val="center"/>
          </w:tcPr>
          <w:p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0.00</w:t>
            </w:r>
          </w:p>
        </w:tc>
        <w:tc>
          <w:tcPr>
            <w:tcW w:w="2126"/>
            <w:vAlign w:val="center"/>
          </w:tcPr>
          <w:tcPr>
            <w:vAlign w:val="center"/>
          </w:tcPr>
          <w:p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0.00</w:t>
            </w:r>
          </w:p>
        </w:tc>
      </w:tr>
      <w:tr>
        <w:tc>
          <w:tcPr>
            <w:tcW w:w="709"/>
            <w:vAlign w:val="center"/>
          </w:tcPr>
          <w:tcPr>
            <w:vAlign w:val="center"/>
          </w:tcPr>
          <w:p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 xml:space="preserve"> </w:t>
            </w:r>
          </w:p>
        </w:tc>
        <w:tc>
          <w:tcPr>
            <w:tcW w:w="3544"/>
            <w:vAlign w:val="center"/>
          </w:tcPr>
          <w:p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合计</w:t>
            </w:r>
          </w:p>
        </w:tc>
        <w:tc>
          <w:tcPr>
            <w:tcW w:w="2268"/>
            <w:vAlign w:val="center"/>
          </w:tcPr>
          <w:tcPr>
            <w:vAlign w:val="center"/>
          </w:tcPr>
          <w:p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23,192,712.20</w:t>
            </w:r>
          </w:p>
        </w:tc>
        <w:tc>
          <w:tcPr>
            <w:tcW w:w="2126"/>
            <w:vAlign w:val="center"/>
          </w:tcPr>
          <w:tcPr>
            <w:vAlign w:val="center"/>
          </w:tcPr>
          <w:p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100.00</w:t>
            </w:r>
          </w:p>
        </w:tc>
      </w:tr>
    </w:tbl>
    <w:p>
      <w:pPr>
        <w:spacing w:before="0" w:after="0" w:beforeLines="50" w:afterLines="0" w:lineRule="auto" w:line="360"/>
        <w:jc w:val="left"/>
      </w:pPr>
      <w:bookmarkStart/>
      <w:r>
        <w:rPr>
          <w:rFonts w:eastAsia="黑体" w:ascii="黑体" w:hAnsi="黑体"/>
          <w:b w:val="false"/>
          <w:sz w:val="24"/>
        </w:rPr>
        <w:t>4.2 前十大资产持仓情况</w:t>
      </w:r>
    </w:p>
    <w:tbl>
      <w:tblPr>
        <w:tblW w:w="0" w:type="auto"/>
        <w:tblBorders>
          <w:top w:val="single"/>
          <w:left w:val="single"/>
          <w:bottom w:val="single"/>
          <w:right w:val="single"/>
          <w:insideH w:val="single"/>
          <w:insideV w:val="single"/>
        </w:tblBorders>
        <w:tblBorders>
          <w:top w:sz="5"/>
          <w:left w:sz="5"/>
          <w:bottom w:sz="5"/>
          <w:right w:sz="5"/>
          <w:insideH w:sz="5"/>
          <w:insideV w:sz="5"/>
        </w:tblBorders>
        <w:tblCellMar>
          <w:left w:type="dxa" w:w="108"/>
          <w:right w:type="dxa" w:w="108"/>
        </w:tblCellMar>
      </w:tblPr>
      <w:tr>
        <w:tc>
          <w:tcPr>
            <w:tcW w:w="709"/>
            <w:vAlign w:val="center"/>
          </w:tcPr>
          <w:tcPr>
            <w:vAlign w:val="center"/>
          </w:tcPr>
          <w:p>
            <w:pPr>
              <w:spacing/>
            </w:pPr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序号</w:t>
            </w:r>
          </w:p>
        </w:tc>
        <w:tc>
          <w:tcPr>
            <w:tcW w:w="3544"/>
            <w:vAlign w:val="center"/>
          </w:tcPr>
          <w:tcPr>
            <w:vAlign w:val="center"/>
          </w:tcPr>
          <w:p>
            <w:pPr>
              <w:spacing/>
            </w:pPr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资产名称</w:t>
            </w:r>
          </w:p>
        </w:tc>
        <w:tc>
          <w:tcPr>
            <w:tcW w:w="2268"/>
            <w:vAlign w:val="center"/>
          </w:tcPr>
          <w:tcPr>
            <w:vAlign w:val="center"/>
          </w:tcPr>
          <w:p>
            <w:pPr>
              <w:spacing/>
            </w:pPr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资产市值(元)</w:t>
            </w:r>
          </w:p>
        </w:tc>
        <w:tc>
          <w:tcPr>
            <w:tcW w:w="2126"/>
            <w:vAlign w:val="center"/>
          </w:tcPr>
          <w:tcPr>
            <w:vAlign w:val="center"/>
          </w:tcPr>
          <w:p>
            <w:pPr>
              <w:spacing/>
            </w:pPr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占比（%）</w:t>
            </w:r>
          </w:p>
        </w:tc>
      </w:tr>
      <w:tr>
        <w:tc>
          <w:tcPr>
            <w:tcW w:w="709"/>
            <w:vAlign w:val="center"/>
          </w:tcPr>
          <w:p>
            <w:pPr>
              <w:spacing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1</w:t>
            </w:r>
          </w:p>
        </w:tc>
        <w:tc>
          <w:tcPr>
            <w:tcW w:w="3544"/>
            <w:vAlign w:val="center"/>
          </w:tcPr>
          <w:p>
            <w:pPr>
              <w:spacing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16唐山农商二级</w:t>
            </w:r>
          </w:p>
        </w:tc>
        <w:tc>
          <w:tcPr>
            <w:tcW w:w="2268"/>
            <w:vAlign w:val="center"/>
          </w:tcPr>
          <w:tcPr>
            <w:vAlign w:val="center"/>
          </w:tcPr>
          <w:p>
            <w:pPr>
              <w:spacing w:beforeLines="50" w:afterLines="50" w:lineRule="auto" w:line="360"/>
            </w:pPr>
            <w:pPr>
              <w:jc w:val="center"/>
            </w:pPr>
            <w:r>
              <w:rPr>
                <w:b w:val="false"/>
                <w:sz w:val="24"/>
              </w:rPr>
              <w:rPr>
                <w:rFonts w:eastAsia="宋体" w:ascii="Times New Roman" w:hAnsi="宋体"/>
              </w:rPr>
              <w:t>23,108,509.76</w:t>
            </w:r>
          </w:p>
        </w:tc>
        <w:tc>
          <w:tcPr>
            <w:tcW w:w="2126"/>
            <w:vAlign w:val="center"/>
          </w:tcPr>
          <w:tcPr>
            <w:vAlign w:val="center"/>
          </w:tcPr>
          <w:p>
            <w:pPr>
              <w:spacing w:beforeLines="50" w:afterLines="50" w:lineRule="auto" w:line="360"/>
            </w:pPr>
            <w:pPr>
              <w:jc w:val="center"/>
            </w:pPr>
            <w:r>
              <w:rPr>
                <w:b w:val="false"/>
                <w:sz w:val="24"/>
              </w:rPr>
              <w:rPr>
                <w:rFonts w:eastAsia="宋体" w:ascii="Times New Roman" w:hAnsi="宋体"/>
              </w:rPr>
              <w:t>99.64</w:t>
            </w:r>
          </w:p>
        </w:tc>
      </w:tr>
    </w:tbl>
  </w:body>
</w:document>
</file>

<file path=word/settings.xml><?xml version="1.0" encoding="utf-8"?>
<w:settings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settings.xml" Type="http://schemas.openxmlformats.org/officeDocument/2006/relationships/settings"/></Relationships>
</file>

<file path=docProps/app.xml><?xml version="1.0" encoding="utf-8"?>
<Properties xmlns="http://schemas.openxmlformats.org/officeDocument/2006/extended-properties">
  <Application>Apache POI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2025-01-08T03:17:32Z</dcterms:created>
  <dc:creator>Apache POI</dc:creator>
</cp:coreProperties>
</file>