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A718C">
      <w:pPr>
        <w:pStyle w:val="13"/>
        <w:ind w:firstLine="560"/>
        <w:rPr>
          <w:rFonts w:ascii="宋体" w:hAnsi="宋体" w:eastAsia="宋体" w:cs="宋体"/>
        </w:rPr>
      </w:pPr>
    </w:p>
    <w:p w14:paraId="4A22F87D">
      <w:pPr>
        <w:pStyle w:val="13"/>
        <w:ind w:left="0" w:firstLine="0" w:firstLineChars="0"/>
        <w:rPr>
          <w:rFonts w:ascii="宋体" w:hAnsi="宋体" w:eastAsia="宋体" w:cs="宋体"/>
        </w:rPr>
      </w:pPr>
      <w:r>
        <w:rPr>
          <w:rFonts w:hint="eastAsia" w:ascii="宋体" w:hAnsi="宋体" w:eastAsia="宋体" w:cs="宋体"/>
          <w:sz w:val="24"/>
          <w:szCs w:val="24"/>
        </w:rPr>
        <w:drawing>
          <wp:inline distT="0" distB="0" distL="114300" distR="114300">
            <wp:extent cx="1567180" cy="482600"/>
            <wp:effectExtent l="0" t="0" r="2540" b="5080"/>
            <wp:docPr id="1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IMG_256"/>
                    <pic:cNvPicPr>
                      <a:picLocks noChangeAspect="1"/>
                    </pic:cNvPicPr>
                  </pic:nvPicPr>
                  <pic:blipFill>
                    <a:blip r:embed="rId24"/>
                    <a:stretch>
                      <a:fillRect/>
                    </a:stretch>
                  </pic:blipFill>
                  <pic:spPr>
                    <a:xfrm>
                      <a:off x="0" y="0"/>
                      <a:ext cx="1567180" cy="482600"/>
                    </a:xfrm>
                    <a:prstGeom prst="rect">
                      <a:avLst/>
                    </a:prstGeom>
                    <a:noFill/>
                    <a:ln w="9525">
                      <a:noFill/>
                    </a:ln>
                  </pic:spPr>
                </pic:pic>
              </a:graphicData>
            </a:graphic>
          </wp:inline>
        </w:drawing>
      </w:r>
      <w:bookmarkStart w:id="222" w:name="_GoBack"/>
      <w:bookmarkEnd w:id="222"/>
    </w:p>
    <w:p w14:paraId="542D1BD2">
      <w:pPr>
        <w:pStyle w:val="13"/>
        <w:ind w:firstLine="560"/>
        <w:rPr>
          <w:rFonts w:ascii="宋体" w:hAnsi="宋体" w:eastAsia="宋体" w:cs="宋体"/>
        </w:rPr>
      </w:pPr>
    </w:p>
    <w:p w14:paraId="5B1270A0">
      <w:pPr>
        <w:pStyle w:val="13"/>
        <w:ind w:firstLine="560"/>
        <w:rPr>
          <w:rFonts w:ascii="宋体" w:hAnsi="宋体" w:eastAsia="宋体" w:cs="宋体"/>
        </w:rPr>
      </w:pPr>
    </w:p>
    <w:p w14:paraId="1530C6EF">
      <w:pPr>
        <w:ind w:firstLine="0" w:firstLineChars="0"/>
        <w:jc w:val="center"/>
        <w:rPr>
          <w:rFonts w:ascii="宋体" w:hAnsi="宋体" w:eastAsia="宋体" w:cs="宋体"/>
          <w:b/>
          <w:bCs/>
          <w:sz w:val="40"/>
          <w:szCs w:val="40"/>
        </w:rPr>
      </w:pPr>
      <w:r>
        <w:rPr>
          <w:rFonts w:hint="eastAsia" w:ascii="宋体" w:hAnsi="宋体" w:eastAsia="宋体" w:cs="宋体"/>
          <w:b/>
          <w:bCs/>
          <w:sz w:val="40"/>
          <w:szCs w:val="40"/>
        </w:rPr>
        <w:t>乌海银行股份有限公司</w:t>
      </w:r>
    </w:p>
    <w:p w14:paraId="47E62D10">
      <w:pPr>
        <w:ind w:firstLine="0" w:firstLineChars="0"/>
        <w:jc w:val="center"/>
        <w:rPr>
          <w:rFonts w:ascii="宋体" w:hAnsi="宋体" w:eastAsia="宋体" w:cs="宋体"/>
          <w:b/>
          <w:bCs/>
          <w:sz w:val="40"/>
          <w:szCs w:val="40"/>
        </w:rPr>
      </w:pPr>
      <w:r>
        <w:rPr>
          <w:rFonts w:eastAsia="宋体" w:cs="Times New Roman"/>
          <w:b/>
          <w:bCs/>
          <w:sz w:val="40"/>
          <w:szCs w:val="40"/>
        </w:rPr>
        <w:t>2025</w:t>
      </w:r>
      <w:r>
        <w:rPr>
          <w:rFonts w:hint="eastAsia" w:ascii="宋体" w:hAnsi="宋体" w:eastAsia="宋体" w:cs="宋体"/>
          <w:b/>
          <w:bCs/>
          <w:sz w:val="40"/>
          <w:szCs w:val="40"/>
        </w:rPr>
        <w:t>年度自然相关信息披露（</w:t>
      </w:r>
      <w:r>
        <w:rPr>
          <w:rFonts w:eastAsia="宋体" w:cs="Times New Roman"/>
          <w:b/>
          <w:bCs/>
          <w:sz w:val="40"/>
          <w:szCs w:val="40"/>
        </w:rPr>
        <w:t>TNFD</w:t>
      </w:r>
      <w:r>
        <w:rPr>
          <w:rFonts w:hint="eastAsia" w:ascii="宋体" w:hAnsi="宋体" w:eastAsia="宋体" w:cs="宋体"/>
          <w:b/>
          <w:bCs/>
          <w:sz w:val="40"/>
          <w:szCs w:val="40"/>
        </w:rPr>
        <w:t>）报告</w:t>
      </w:r>
    </w:p>
    <w:p w14:paraId="70239A25">
      <w:pPr>
        <w:ind w:firstLine="0" w:firstLineChars="0"/>
        <w:jc w:val="center"/>
        <w:rPr>
          <w:rFonts w:ascii="宋体" w:hAnsi="宋体" w:eastAsia="宋体" w:cs="宋体"/>
          <w:b/>
          <w:bCs/>
          <w:sz w:val="40"/>
          <w:szCs w:val="40"/>
        </w:rPr>
      </w:pPr>
    </w:p>
    <w:p w14:paraId="7F65888F">
      <w:pPr>
        <w:ind w:firstLine="0" w:firstLineChars="0"/>
        <w:jc w:val="center"/>
        <w:rPr>
          <w:rFonts w:ascii="宋体" w:hAnsi="宋体" w:eastAsia="宋体" w:cs="宋体"/>
        </w:rPr>
      </w:pPr>
      <w:r>
        <w:rPr>
          <w:rFonts w:hint="eastAsia" w:ascii="宋体" w:hAnsi="宋体" w:eastAsia="宋体" w:cs="宋体"/>
        </w:rPr>
        <w:drawing>
          <wp:inline distT="0" distB="0" distL="114300" distR="114300">
            <wp:extent cx="3653155" cy="4866640"/>
            <wp:effectExtent l="0" t="0" r="0"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5"/>
                    <a:srcRect l="553"/>
                    <a:stretch>
                      <a:fillRect/>
                    </a:stretch>
                  </pic:blipFill>
                  <pic:spPr>
                    <a:xfrm>
                      <a:off x="0" y="0"/>
                      <a:ext cx="3653155" cy="4866640"/>
                    </a:xfrm>
                    <a:prstGeom prst="rect">
                      <a:avLst/>
                    </a:prstGeom>
                    <a:noFill/>
                    <a:ln>
                      <a:noFill/>
                    </a:ln>
                  </pic:spPr>
                </pic:pic>
              </a:graphicData>
            </a:graphic>
          </wp:inline>
        </w:drawing>
      </w:r>
    </w:p>
    <w:p w14:paraId="5DBE16B3">
      <w:pPr>
        <w:pStyle w:val="13"/>
        <w:ind w:firstLine="560"/>
        <w:rPr>
          <w:rFonts w:ascii="宋体" w:hAnsi="宋体" w:eastAsia="宋体" w:cs="宋体"/>
        </w:rPr>
      </w:pPr>
    </w:p>
    <w:p w14:paraId="14398C94">
      <w:pPr>
        <w:ind w:firstLine="0" w:firstLineChars="0"/>
        <w:jc w:val="center"/>
        <w:rPr>
          <w:rFonts w:ascii="宋体" w:hAnsi="宋体" w:eastAsia="宋体" w:cs="宋体"/>
        </w:rPr>
      </w:pPr>
      <w:r>
        <w:rPr>
          <w:rFonts w:eastAsia="宋体" w:cs="Times New Roman"/>
        </w:rPr>
        <w:t>2026</w:t>
      </w:r>
      <w:r>
        <w:rPr>
          <w:rFonts w:hint="eastAsia" w:ascii="宋体" w:hAnsi="宋体" w:eastAsia="宋体" w:cs="宋体"/>
        </w:rPr>
        <w:t>年</w:t>
      </w:r>
      <w:r>
        <w:rPr>
          <w:rFonts w:eastAsia="宋体" w:cs="Times New Roman"/>
        </w:rPr>
        <w:t>5</w:t>
      </w:r>
      <w:r>
        <w:rPr>
          <w:rFonts w:hint="eastAsia" w:ascii="宋体" w:hAnsi="宋体" w:eastAsia="宋体" w:cs="宋体"/>
        </w:rPr>
        <w:t>月</w:t>
      </w:r>
    </w:p>
    <w:p w14:paraId="7ED2CE79">
      <w:pPr>
        <w:ind w:firstLine="0" w:firstLineChars="0"/>
        <w:jc w:val="center"/>
        <w:rPr>
          <w:rFonts w:ascii="宋体" w:hAnsi="宋体" w:eastAsia="宋体" w:cs="宋体"/>
          <w:b/>
          <w:bCs/>
          <w:sz w:val="24"/>
          <w:szCs w:val="24"/>
          <w:highlight w:val="yellow"/>
        </w:rPr>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1440" w:left="1800" w:header="851" w:footer="992" w:gutter="0"/>
          <w:pgNumType w:start="1"/>
          <w:cols w:space="425" w:num="1"/>
          <w:titlePg/>
          <w:docGrid w:type="lines" w:linePitch="312" w:charSpace="0"/>
        </w:sectPr>
      </w:pPr>
    </w:p>
    <w:sdt>
      <w:sdtPr>
        <w:rPr>
          <w:rFonts w:ascii="宋体" w:hAnsi="宋体" w:eastAsia="宋体"/>
          <w:sz w:val="32"/>
          <w:szCs w:val="36"/>
        </w:rPr>
        <w:id w:val="147476104"/>
        <w15:color w:val="DBDBDB"/>
        <w:docPartObj>
          <w:docPartGallery w:val="Table of Contents"/>
          <w:docPartUnique/>
        </w:docPartObj>
      </w:sdtPr>
      <w:sdtEndPr>
        <w:rPr>
          <w:rFonts w:ascii="宋体" w:hAnsi="宋体" w:eastAsia="宋体"/>
          <w:sz w:val="32"/>
          <w:szCs w:val="36"/>
        </w:rPr>
      </w:sdtEndPr>
      <w:sdtContent>
        <w:p w14:paraId="3997A2CE">
          <w:pPr>
            <w:spacing w:line="240" w:lineRule="auto"/>
            <w:ind w:firstLine="0" w:firstLineChars="0"/>
            <w:jc w:val="center"/>
            <w:rPr>
              <w:rFonts w:ascii="宋体" w:hAnsi="宋体" w:eastAsia="宋体"/>
              <w:sz w:val="32"/>
              <w:szCs w:val="36"/>
            </w:rPr>
          </w:pPr>
          <w:r>
            <w:rPr>
              <w:rFonts w:ascii="宋体" w:hAnsi="宋体" w:eastAsia="宋体"/>
              <w:b/>
              <w:bCs/>
              <w:sz w:val="32"/>
              <w:szCs w:val="36"/>
            </w:rPr>
            <w:t>目</w:t>
          </w:r>
          <w:r>
            <w:rPr>
              <w:rFonts w:hint="eastAsia" w:ascii="宋体" w:hAnsi="宋体" w:eastAsia="宋体"/>
              <w:b/>
              <w:bCs/>
              <w:sz w:val="32"/>
              <w:szCs w:val="36"/>
            </w:rPr>
            <w:t xml:space="preserve"> </w:t>
          </w:r>
          <w:r>
            <w:rPr>
              <w:rFonts w:ascii="宋体" w:hAnsi="宋体" w:eastAsia="宋体"/>
              <w:b/>
              <w:bCs/>
              <w:sz w:val="32"/>
              <w:szCs w:val="36"/>
            </w:rPr>
            <w:t>录</w:t>
          </w:r>
        </w:p>
        <w:p w14:paraId="2138CCE6">
          <w:pPr>
            <w:spacing w:line="240" w:lineRule="auto"/>
            <w:ind w:firstLine="0" w:firstLineChars="0"/>
            <w:jc w:val="center"/>
            <w:rPr>
              <w:rFonts w:ascii="宋体" w:hAnsi="宋体" w:eastAsia="宋体"/>
              <w:sz w:val="36"/>
              <w:szCs w:val="40"/>
            </w:rPr>
          </w:pPr>
        </w:p>
        <w:p w14:paraId="64CE4ECE">
          <w:pPr>
            <w:pStyle w:val="30"/>
            <w:tabs>
              <w:tab w:val="right" w:leader="dot" w:pos="8306"/>
            </w:tabs>
            <w:ind w:firstLine="560"/>
            <w:rPr>
              <w:rFonts w:cs="Times New Roman"/>
            </w:rPr>
          </w:pPr>
          <w:r>
            <w:rPr>
              <w:rFonts w:cs="Times New Roman"/>
            </w:rPr>
            <w:fldChar w:fldCharType="begin"/>
          </w:r>
          <w:r>
            <w:rPr>
              <w:rFonts w:cs="Times New Roman"/>
            </w:rPr>
            <w:instrText xml:space="preserve">TOC \o "1-2" \h \u </w:instrText>
          </w:r>
          <w:r>
            <w:rPr>
              <w:rFonts w:cs="Times New Roman"/>
            </w:rPr>
            <w:fldChar w:fldCharType="separate"/>
          </w:r>
          <w:r>
            <w:rPr>
              <w:rFonts w:cs="Times New Roman"/>
            </w:rPr>
            <w:fldChar w:fldCharType="begin"/>
          </w:r>
          <w:r>
            <w:rPr>
              <w:rFonts w:cs="Times New Roman"/>
            </w:rPr>
            <w:instrText xml:space="preserve"> HYPERLINK \l _Toc15596 </w:instrText>
          </w:r>
          <w:r>
            <w:rPr>
              <w:rFonts w:cs="Times New Roman"/>
            </w:rPr>
            <w:fldChar w:fldCharType="separate"/>
          </w:r>
          <w:r>
            <w:rPr>
              <w:rFonts w:eastAsia="宋体" w:cs="Times New Roman"/>
            </w:rPr>
            <w:t>1 关于本报告</w:t>
          </w:r>
          <w:r>
            <w:rPr>
              <w:rFonts w:cs="Times New Roman"/>
            </w:rPr>
            <w:tab/>
          </w:r>
          <w:r>
            <w:rPr>
              <w:rFonts w:cs="Times New Roman"/>
            </w:rPr>
            <w:fldChar w:fldCharType="begin"/>
          </w:r>
          <w:r>
            <w:rPr>
              <w:rFonts w:cs="Times New Roman"/>
            </w:rPr>
            <w:instrText xml:space="preserve"> PAGEREF _Toc15596 \h </w:instrText>
          </w:r>
          <w:r>
            <w:rPr>
              <w:rFonts w:cs="Times New Roman"/>
            </w:rPr>
            <w:fldChar w:fldCharType="separate"/>
          </w:r>
          <w:r>
            <w:rPr>
              <w:rFonts w:cs="Times New Roman"/>
            </w:rPr>
            <w:t>1</w:t>
          </w:r>
          <w:r>
            <w:rPr>
              <w:rFonts w:cs="Times New Roman"/>
            </w:rPr>
            <w:fldChar w:fldCharType="end"/>
          </w:r>
          <w:r>
            <w:rPr>
              <w:rFonts w:cs="Times New Roman"/>
            </w:rPr>
            <w:fldChar w:fldCharType="end"/>
          </w:r>
        </w:p>
        <w:p w14:paraId="7BE6C78C">
          <w:pPr>
            <w:pStyle w:val="30"/>
            <w:tabs>
              <w:tab w:val="right" w:leader="dot" w:pos="8306"/>
            </w:tabs>
            <w:ind w:firstLine="560"/>
            <w:rPr>
              <w:rFonts w:cs="Times New Roman"/>
            </w:rPr>
          </w:pPr>
          <w:r>
            <w:rPr>
              <w:rFonts w:cs="Times New Roman"/>
            </w:rPr>
            <w:fldChar w:fldCharType="begin"/>
          </w:r>
          <w:r>
            <w:rPr>
              <w:rFonts w:cs="Times New Roman"/>
            </w:rPr>
            <w:instrText xml:space="preserve"> HYPERLINK \l _Toc2251 </w:instrText>
          </w:r>
          <w:r>
            <w:rPr>
              <w:rFonts w:cs="Times New Roman"/>
            </w:rPr>
            <w:fldChar w:fldCharType="separate"/>
          </w:r>
          <w:r>
            <w:rPr>
              <w:rFonts w:eastAsia="宋体" w:cs="Times New Roman"/>
            </w:rPr>
            <w:t>2 报告开篇</w:t>
          </w:r>
          <w:r>
            <w:rPr>
              <w:rFonts w:cs="Times New Roman"/>
            </w:rPr>
            <w:tab/>
          </w:r>
          <w:r>
            <w:rPr>
              <w:rFonts w:cs="Times New Roman"/>
            </w:rPr>
            <w:fldChar w:fldCharType="begin"/>
          </w:r>
          <w:r>
            <w:rPr>
              <w:rFonts w:cs="Times New Roman"/>
            </w:rPr>
            <w:instrText xml:space="preserve"> PAGEREF _Toc2251 \h </w:instrText>
          </w:r>
          <w:r>
            <w:rPr>
              <w:rFonts w:cs="Times New Roman"/>
            </w:rPr>
            <w:fldChar w:fldCharType="separate"/>
          </w:r>
          <w:r>
            <w:rPr>
              <w:rFonts w:cs="Times New Roman"/>
            </w:rPr>
            <w:t>3</w:t>
          </w:r>
          <w:r>
            <w:rPr>
              <w:rFonts w:cs="Times New Roman"/>
            </w:rPr>
            <w:fldChar w:fldCharType="end"/>
          </w:r>
          <w:r>
            <w:rPr>
              <w:rFonts w:cs="Times New Roman"/>
            </w:rPr>
            <w:fldChar w:fldCharType="end"/>
          </w:r>
        </w:p>
        <w:p w14:paraId="702EADF3">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_Toc16766 </w:instrText>
          </w:r>
          <w:r>
            <w:rPr>
              <w:rFonts w:cs="Times New Roman"/>
            </w:rPr>
            <w:fldChar w:fldCharType="separate"/>
          </w:r>
          <w:r>
            <w:rPr>
              <w:rFonts w:eastAsia="宋体" w:cs="Times New Roman"/>
            </w:rPr>
            <w:t>2.1 关于乌海银行</w:t>
          </w:r>
          <w:r>
            <w:rPr>
              <w:rFonts w:cs="Times New Roman"/>
            </w:rPr>
            <w:tab/>
          </w:r>
          <w:r>
            <w:rPr>
              <w:rFonts w:cs="Times New Roman"/>
            </w:rPr>
            <w:fldChar w:fldCharType="begin"/>
          </w:r>
          <w:r>
            <w:rPr>
              <w:rFonts w:cs="Times New Roman"/>
            </w:rPr>
            <w:instrText xml:space="preserve"> PAGEREF _Toc16766 \h </w:instrText>
          </w:r>
          <w:r>
            <w:rPr>
              <w:rFonts w:cs="Times New Roman"/>
            </w:rPr>
            <w:fldChar w:fldCharType="separate"/>
          </w:r>
          <w:r>
            <w:rPr>
              <w:rFonts w:cs="Times New Roman"/>
            </w:rPr>
            <w:t>3</w:t>
          </w:r>
          <w:r>
            <w:rPr>
              <w:rFonts w:cs="Times New Roman"/>
            </w:rPr>
            <w:fldChar w:fldCharType="end"/>
          </w:r>
          <w:r>
            <w:rPr>
              <w:rFonts w:cs="Times New Roman"/>
            </w:rPr>
            <w:fldChar w:fldCharType="end"/>
          </w:r>
        </w:p>
        <w:p w14:paraId="1E779624">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_Toc16033 </w:instrText>
          </w:r>
          <w:r>
            <w:rPr>
              <w:rFonts w:cs="Times New Roman"/>
            </w:rPr>
            <w:fldChar w:fldCharType="separate"/>
          </w:r>
          <w:r>
            <w:rPr>
              <w:rFonts w:eastAsia="宋体" w:cs="Times New Roman"/>
            </w:rPr>
            <w:t>2.2 自然相关工作方法论</w:t>
          </w:r>
          <w:r>
            <w:rPr>
              <w:rFonts w:cs="Times New Roman"/>
            </w:rPr>
            <w:tab/>
          </w:r>
          <w:r>
            <w:rPr>
              <w:rFonts w:cs="Times New Roman"/>
            </w:rPr>
            <w:fldChar w:fldCharType="begin"/>
          </w:r>
          <w:r>
            <w:rPr>
              <w:rFonts w:cs="Times New Roman"/>
            </w:rPr>
            <w:instrText xml:space="preserve"> PAGEREF _Toc16033 \h </w:instrText>
          </w:r>
          <w:r>
            <w:rPr>
              <w:rFonts w:cs="Times New Roman"/>
            </w:rPr>
            <w:fldChar w:fldCharType="separate"/>
          </w:r>
          <w:r>
            <w:rPr>
              <w:rFonts w:cs="Times New Roman"/>
            </w:rPr>
            <w:t>3</w:t>
          </w:r>
          <w:r>
            <w:rPr>
              <w:rFonts w:cs="Times New Roman"/>
            </w:rPr>
            <w:fldChar w:fldCharType="end"/>
          </w:r>
          <w:r>
            <w:rPr>
              <w:rFonts w:cs="Times New Roman"/>
            </w:rPr>
            <w:fldChar w:fldCharType="end"/>
          </w:r>
        </w:p>
        <w:p w14:paraId="359A8848">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_Toc7412 </w:instrText>
          </w:r>
          <w:r>
            <w:rPr>
              <w:rFonts w:cs="Times New Roman"/>
            </w:rPr>
            <w:fldChar w:fldCharType="separate"/>
          </w:r>
          <w:r>
            <w:rPr>
              <w:rFonts w:eastAsia="宋体" w:cs="Times New Roman"/>
            </w:rPr>
            <w:t>2.3 乌海银行与自然的关系</w:t>
          </w:r>
          <w:r>
            <w:rPr>
              <w:rFonts w:cs="Times New Roman"/>
            </w:rPr>
            <w:tab/>
          </w:r>
          <w:r>
            <w:rPr>
              <w:rFonts w:cs="Times New Roman"/>
            </w:rPr>
            <w:fldChar w:fldCharType="begin"/>
          </w:r>
          <w:r>
            <w:rPr>
              <w:rFonts w:cs="Times New Roman"/>
            </w:rPr>
            <w:instrText xml:space="preserve"> PAGEREF _Toc7412 \h </w:instrText>
          </w:r>
          <w:r>
            <w:rPr>
              <w:rFonts w:cs="Times New Roman"/>
            </w:rPr>
            <w:fldChar w:fldCharType="separate"/>
          </w:r>
          <w:r>
            <w:rPr>
              <w:rFonts w:cs="Times New Roman"/>
            </w:rPr>
            <w:t>5</w:t>
          </w:r>
          <w:r>
            <w:rPr>
              <w:rFonts w:cs="Times New Roman"/>
            </w:rPr>
            <w:fldChar w:fldCharType="end"/>
          </w:r>
          <w:r>
            <w:rPr>
              <w:rFonts w:cs="Times New Roman"/>
            </w:rPr>
            <w:fldChar w:fldCharType="end"/>
          </w:r>
        </w:p>
        <w:p w14:paraId="54FECBDE">
          <w:pPr>
            <w:pStyle w:val="30"/>
            <w:tabs>
              <w:tab w:val="right" w:leader="dot" w:pos="8306"/>
            </w:tabs>
            <w:ind w:firstLine="560"/>
            <w:rPr>
              <w:rFonts w:cs="Times New Roman"/>
            </w:rPr>
          </w:pPr>
          <w:r>
            <w:rPr>
              <w:rFonts w:cs="Times New Roman"/>
            </w:rPr>
            <w:fldChar w:fldCharType="begin"/>
          </w:r>
          <w:r>
            <w:rPr>
              <w:rFonts w:cs="Times New Roman"/>
            </w:rPr>
            <w:instrText xml:space="preserve"> HYPERLINK \l _Toc24185 </w:instrText>
          </w:r>
          <w:r>
            <w:rPr>
              <w:rFonts w:cs="Times New Roman"/>
            </w:rPr>
            <w:fldChar w:fldCharType="separate"/>
          </w:r>
          <w:r>
            <w:rPr>
              <w:rFonts w:eastAsia="宋体" w:cs="Times New Roman"/>
            </w:rPr>
            <w:t>3 治理</w:t>
          </w:r>
          <w:r>
            <w:rPr>
              <w:rFonts w:cs="Times New Roman"/>
            </w:rPr>
            <w:tab/>
          </w:r>
          <w:r>
            <w:rPr>
              <w:rFonts w:cs="Times New Roman"/>
            </w:rPr>
            <w:fldChar w:fldCharType="begin"/>
          </w:r>
          <w:r>
            <w:rPr>
              <w:rFonts w:cs="Times New Roman"/>
            </w:rPr>
            <w:instrText xml:space="preserve"> PAGEREF _Toc24185 \h </w:instrText>
          </w:r>
          <w:r>
            <w:rPr>
              <w:rFonts w:cs="Times New Roman"/>
            </w:rPr>
            <w:fldChar w:fldCharType="separate"/>
          </w:r>
          <w:r>
            <w:rPr>
              <w:rFonts w:cs="Times New Roman"/>
            </w:rPr>
            <w:t>7</w:t>
          </w:r>
          <w:r>
            <w:rPr>
              <w:rFonts w:cs="Times New Roman"/>
            </w:rPr>
            <w:fldChar w:fldCharType="end"/>
          </w:r>
          <w:r>
            <w:rPr>
              <w:rFonts w:cs="Times New Roman"/>
            </w:rPr>
            <w:fldChar w:fldCharType="end"/>
          </w:r>
        </w:p>
        <w:p w14:paraId="0AF0A743">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_Toc11107 </w:instrText>
          </w:r>
          <w:r>
            <w:rPr>
              <w:rFonts w:cs="Times New Roman"/>
            </w:rPr>
            <w:fldChar w:fldCharType="separate"/>
          </w:r>
          <w:r>
            <w:rPr>
              <w:rFonts w:eastAsia="宋体" w:cs="Times New Roman"/>
            </w:rPr>
            <w:t>3.1 自然相关治理架构</w:t>
          </w:r>
          <w:r>
            <w:rPr>
              <w:rFonts w:cs="Times New Roman"/>
            </w:rPr>
            <w:tab/>
          </w:r>
          <w:r>
            <w:rPr>
              <w:rFonts w:cs="Times New Roman"/>
            </w:rPr>
            <w:fldChar w:fldCharType="begin"/>
          </w:r>
          <w:r>
            <w:rPr>
              <w:rFonts w:cs="Times New Roman"/>
            </w:rPr>
            <w:instrText xml:space="preserve"> PAGEREF _Toc11107 \h </w:instrText>
          </w:r>
          <w:r>
            <w:rPr>
              <w:rFonts w:cs="Times New Roman"/>
            </w:rPr>
            <w:fldChar w:fldCharType="separate"/>
          </w:r>
          <w:r>
            <w:rPr>
              <w:rFonts w:cs="Times New Roman"/>
            </w:rPr>
            <w:t>7</w:t>
          </w:r>
          <w:r>
            <w:rPr>
              <w:rFonts w:cs="Times New Roman"/>
            </w:rPr>
            <w:fldChar w:fldCharType="end"/>
          </w:r>
          <w:r>
            <w:rPr>
              <w:rFonts w:cs="Times New Roman"/>
            </w:rPr>
            <w:fldChar w:fldCharType="end"/>
          </w:r>
        </w:p>
        <w:p w14:paraId="3CCE0773">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_Toc23402 </w:instrText>
          </w:r>
          <w:r>
            <w:rPr>
              <w:rFonts w:cs="Times New Roman"/>
            </w:rPr>
            <w:fldChar w:fldCharType="separate"/>
          </w:r>
          <w:r>
            <w:rPr>
              <w:rFonts w:eastAsia="宋体" w:cs="Times New Roman"/>
            </w:rPr>
            <w:t>3.2 利益相关方参与</w:t>
          </w:r>
          <w:r>
            <w:rPr>
              <w:rFonts w:cs="Times New Roman"/>
            </w:rPr>
            <w:tab/>
          </w:r>
          <w:r>
            <w:rPr>
              <w:rFonts w:cs="Times New Roman"/>
            </w:rPr>
            <w:fldChar w:fldCharType="begin"/>
          </w:r>
          <w:r>
            <w:rPr>
              <w:rFonts w:cs="Times New Roman"/>
            </w:rPr>
            <w:instrText xml:space="preserve"> PAGEREF _Toc23402 \h </w:instrText>
          </w:r>
          <w:r>
            <w:rPr>
              <w:rFonts w:cs="Times New Roman"/>
            </w:rPr>
            <w:fldChar w:fldCharType="separate"/>
          </w:r>
          <w:r>
            <w:rPr>
              <w:rFonts w:cs="Times New Roman"/>
            </w:rPr>
            <w:t>9</w:t>
          </w:r>
          <w:r>
            <w:rPr>
              <w:rFonts w:cs="Times New Roman"/>
            </w:rPr>
            <w:fldChar w:fldCharType="end"/>
          </w:r>
          <w:r>
            <w:rPr>
              <w:rFonts w:cs="Times New Roman"/>
            </w:rPr>
            <w:fldChar w:fldCharType="end"/>
          </w:r>
        </w:p>
        <w:p w14:paraId="7B8BDF02">
          <w:pPr>
            <w:pStyle w:val="30"/>
            <w:tabs>
              <w:tab w:val="right" w:leader="dot" w:pos="8306"/>
            </w:tabs>
            <w:ind w:firstLine="560"/>
            <w:rPr>
              <w:rFonts w:cs="Times New Roman"/>
            </w:rPr>
          </w:pPr>
          <w:r>
            <w:rPr>
              <w:rFonts w:cs="Times New Roman"/>
            </w:rPr>
            <w:fldChar w:fldCharType="begin"/>
          </w:r>
          <w:r>
            <w:rPr>
              <w:rFonts w:cs="Times New Roman"/>
            </w:rPr>
            <w:instrText xml:space="preserve"> HYPERLINK \l _Toc25973 </w:instrText>
          </w:r>
          <w:r>
            <w:rPr>
              <w:rFonts w:cs="Times New Roman"/>
            </w:rPr>
            <w:fldChar w:fldCharType="separate"/>
          </w:r>
          <w:r>
            <w:rPr>
              <w:rFonts w:eastAsia="宋体" w:cs="Times New Roman"/>
            </w:rPr>
            <w:t>4 战略</w:t>
          </w:r>
          <w:r>
            <w:rPr>
              <w:rFonts w:cs="Times New Roman"/>
            </w:rPr>
            <w:tab/>
          </w:r>
          <w:r>
            <w:rPr>
              <w:rFonts w:cs="Times New Roman"/>
            </w:rPr>
            <w:fldChar w:fldCharType="begin"/>
          </w:r>
          <w:r>
            <w:rPr>
              <w:rFonts w:cs="Times New Roman"/>
            </w:rPr>
            <w:instrText xml:space="preserve"> PAGEREF _Toc25973 \h </w:instrText>
          </w:r>
          <w:r>
            <w:rPr>
              <w:rFonts w:cs="Times New Roman"/>
            </w:rPr>
            <w:fldChar w:fldCharType="separate"/>
          </w:r>
          <w:r>
            <w:rPr>
              <w:rFonts w:cs="Times New Roman"/>
            </w:rPr>
            <w:t>12</w:t>
          </w:r>
          <w:r>
            <w:rPr>
              <w:rFonts w:cs="Times New Roman"/>
            </w:rPr>
            <w:fldChar w:fldCharType="end"/>
          </w:r>
          <w:r>
            <w:rPr>
              <w:rFonts w:cs="Times New Roman"/>
            </w:rPr>
            <w:fldChar w:fldCharType="end"/>
          </w:r>
        </w:p>
        <w:p w14:paraId="50080A53">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_Toc7583 </w:instrText>
          </w:r>
          <w:r>
            <w:rPr>
              <w:rFonts w:cs="Times New Roman"/>
            </w:rPr>
            <w:fldChar w:fldCharType="separate"/>
          </w:r>
          <w:r>
            <w:rPr>
              <w:rFonts w:eastAsia="宋体" w:cs="Times New Roman"/>
            </w:rPr>
            <w:t>4.1 乌海银行自然相关战略</w:t>
          </w:r>
          <w:r>
            <w:rPr>
              <w:rFonts w:cs="Times New Roman"/>
            </w:rPr>
            <w:tab/>
          </w:r>
          <w:r>
            <w:rPr>
              <w:rFonts w:cs="Times New Roman"/>
            </w:rPr>
            <w:fldChar w:fldCharType="begin"/>
          </w:r>
          <w:r>
            <w:rPr>
              <w:rFonts w:cs="Times New Roman"/>
            </w:rPr>
            <w:instrText xml:space="preserve"> PAGEREF _Toc7583 \h </w:instrText>
          </w:r>
          <w:r>
            <w:rPr>
              <w:rFonts w:cs="Times New Roman"/>
            </w:rPr>
            <w:fldChar w:fldCharType="separate"/>
          </w:r>
          <w:r>
            <w:rPr>
              <w:rFonts w:cs="Times New Roman"/>
            </w:rPr>
            <w:t>12</w:t>
          </w:r>
          <w:r>
            <w:rPr>
              <w:rFonts w:cs="Times New Roman"/>
            </w:rPr>
            <w:fldChar w:fldCharType="end"/>
          </w:r>
          <w:r>
            <w:rPr>
              <w:rFonts w:cs="Times New Roman"/>
            </w:rPr>
            <w:fldChar w:fldCharType="end"/>
          </w:r>
        </w:p>
        <w:p w14:paraId="53D1D963">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_Toc17454 </w:instrText>
          </w:r>
          <w:r>
            <w:rPr>
              <w:rFonts w:cs="Times New Roman"/>
            </w:rPr>
            <w:fldChar w:fldCharType="separate"/>
          </w:r>
          <w:r>
            <w:rPr>
              <w:rFonts w:eastAsia="宋体" w:cs="Times New Roman"/>
            </w:rPr>
            <w:t>4.2 评估自然相关依赖与影响</w:t>
          </w:r>
          <w:r>
            <w:rPr>
              <w:rFonts w:cs="Times New Roman"/>
            </w:rPr>
            <w:tab/>
          </w:r>
          <w:r>
            <w:rPr>
              <w:rFonts w:cs="Times New Roman"/>
            </w:rPr>
            <w:fldChar w:fldCharType="begin"/>
          </w:r>
          <w:r>
            <w:rPr>
              <w:rFonts w:cs="Times New Roman"/>
            </w:rPr>
            <w:instrText xml:space="preserve"> PAGEREF _Toc17454 \h </w:instrText>
          </w:r>
          <w:r>
            <w:rPr>
              <w:rFonts w:cs="Times New Roman"/>
            </w:rPr>
            <w:fldChar w:fldCharType="separate"/>
          </w:r>
          <w:r>
            <w:rPr>
              <w:rFonts w:cs="Times New Roman"/>
            </w:rPr>
            <w:t>14</w:t>
          </w:r>
          <w:r>
            <w:rPr>
              <w:rFonts w:cs="Times New Roman"/>
            </w:rPr>
            <w:fldChar w:fldCharType="end"/>
          </w:r>
          <w:r>
            <w:rPr>
              <w:rFonts w:cs="Times New Roman"/>
            </w:rPr>
            <w:fldChar w:fldCharType="end"/>
          </w:r>
        </w:p>
        <w:p w14:paraId="4E55A7A0">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_Toc11658 </w:instrText>
          </w:r>
          <w:r>
            <w:rPr>
              <w:rFonts w:cs="Times New Roman"/>
            </w:rPr>
            <w:fldChar w:fldCharType="separate"/>
          </w:r>
          <w:r>
            <w:rPr>
              <w:rFonts w:eastAsia="宋体" w:cs="Times New Roman"/>
            </w:rPr>
            <w:t>4.3 识别与自然的关联</w:t>
          </w:r>
          <w:r>
            <w:rPr>
              <w:rFonts w:cs="Times New Roman"/>
            </w:rPr>
            <w:tab/>
          </w:r>
          <w:r>
            <w:rPr>
              <w:rFonts w:cs="Times New Roman"/>
            </w:rPr>
            <w:fldChar w:fldCharType="begin"/>
          </w:r>
          <w:r>
            <w:rPr>
              <w:rFonts w:cs="Times New Roman"/>
            </w:rPr>
            <w:instrText xml:space="preserve"> PAGEREF _Toc11658 \h </w:instrText>
          </w:r>
          <w:r>
            <w:rPr>
              <w:rFonts w:cs="Times New Roman"/>
            </w:rPr>
            <w:fldChar w:fldCharType="separate"/>
          </w:r>
          <w:r>
            <w:rPr>
              <w:rFonts w:cs="Times New Roman"/>
            </w:rPr>
            <w:t>23</w:t>
          </w:r>
          <w:r>
            <w:rPr>
              <w:rFonts w:cs="Times New Roman"/>
            </w:rPr>
            <w:fldChar w:fldCharType="end"/>
          </w:r>
          <w:r>
            <w:rPr>
              <w:rFonts w:cs="Times New Roman"/>
            </w:rPr>
            <w:fldChar w:fldCharType="end"/>
          </w:r>
        </w:p>
        <w:p w14:paraId="294FE3F1">
          <w:pPr>
            <w:pStyle w:val="30"/>
            <w:tabs>
              <w:tab w:val="right" w:leader="dot" w:pos="8306"/>
            </w:tabs>
            <w:ind w:firstLine="560"/>
            <w:rPr>
              <w:rFonts w:cs="Times New Roman"/>
            </w:rPr>
          </w:pPr>
          <w:r>
            <w:rPr>
              <w:rFonts w:cs="Times New Roman"/>
            </w:rPr>
            <w:fldChar w:fldCharType="begin"/>
          </w:r>
          <w:r>
            <w:rPr>
              <w:rFonts w:cs="Times New Roman"/>
            </w:rPr>
            <w:instrText xml:space="preserve"> HYPERLINK \l _Toc15305 </w:instrText>
          </w:r>
          <w:r>
            <w:rPr>
              <w:rFonts w:cs="Times New Roman"/>
            </w:rPr>
            <w:fldChar w:fldCharType="separate"/>
          </w:r>
          <w:r>
            <w:rPr>
              <w:rFonts w:eastAsia="宋体" w:cs="Times New Roman"/>
              <w:bCs/>
              <w:szCs w:val="28"/>
            </w:rPr>
            <w:t>5 风险和机遇管理</w:t>
          </w:r>
          <w:r>
            <w:rPr>
              <w:rFonts w:cs="Times New Roman"/>
            </w:rPr>
            <w:tab/>
          </w:r>
          <w:r>
            <w:rPr>
              <w:rFonts w:cs="Times New Roman"/>
            </w:rPr>
            <w:fldChar w:fldCharType="begin"/>
          </w:r>
          <w:r>
            <w:rPr>
              <w:rFonts w:cs="Times New Roman"/>
            </w:rPr>
            <w:instrText xml:space="preserve"> PAGEREF _Toc15305 \h </w:instrText>
          </w:r>
          <w:r>
            <w:rPr>
              <w:rFonts w:cs="Times New Roman"/>
            </w:rPr>
            <w:fldChar w:fldCharType="separate"/>
          </w:r>
          <w:r>
            <w:rPr>
              <w:rFonts w:cs="Times New Roman"/>
            </w:rPr>
            <w:t>29</w:t>
          </w:r>
          <w:r>
            <w:rPr>
              <w:rFonts w:cs="Times New Roman"/>
            </w:rPr>
            <w:fldChar w:fldCharType="end"/>
          </w:r>
          <w:r>
            <w:rPr>
              <w:rFonts w:cs="Times New Roman"/>
            </w:rPr>
            <w:fldChar w:fldCharType="end"/>
          </w:r>
        </w:p>
        <w:p w14:paraId="62990C31">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_Toc19908 </w:instrText>
          </w:r>
          <w:r>
            <w:rPr>
              <w:rFonts w:cs="Times New Roman"/>
            </w:rPr>
            <w:fldChar w:fldCharType="separate"/>
          </w:r>
          <w:r>
            <w:rPr>
              <w:rFonts w:eastAsia="宋体" w:cs="Times New Roman"/>
              <w:bCs/>
              <w:szCs w:val="26"/>
            </w:rPr>
            <w:t>5.1 分析自然相关风险</w:t>
          </w:r>
          <w:r>
            <w:rPr>
              <w:rFonts w:cs="Times New Roman"/>
            </w:rPr>
            <w:tab/>
          </w:r>
          <w:r>
            <w:rPr>
              <w:rFonts w:cs="Times New Roman"/>
            </w:rPr>
            <w:fldChar w:fldCharType="begin"/>
          </w:r>
          <w:r>
            <w:rPr>
              <w:rFonts w:cs="Times New Roman"/>
            </w:rPr>
            <w:instrText xml:space="preserve"> PAGEREF _Toc19908 \h </w:instrText>
          </w:r>
          <w:r>
            <w:rPr>
              <w:rFonts w:cs="Times New Roman"/>
            </w:rPr>
            <w:fldChar w:fldCharType="separate"/>
          </w:r>
          <w:r>
            <w:rPr>
              <w:rFonts w:cs="Times New Roman"/>
            </w:rPr>
            <w:t>29</w:t>
          </w:r>
          <w:r>
            <w:rPr>
              <w:rFonts w:cs="Times New Roman"/>
            </w:rPr>
            <w:fldChar w:fldCharType="end"/>
          </w:r>
          <w:r>
            <w:rPr>
              <w:rFonts w:cs="Times New Roman"/>
            </w:rPr>
            <w:fldChar w:fldCharType="end"/>
          </w:r>
        </w:p>
        <w:p w14:paraId="7E748D30">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_Toc20127 </w:instrText>
          </w:r>
          <w:r>
            <w:rPr>
              <w:rFonts w:cs="Times New Roman"/>
            </w:rPr>
            <w:fldChar w:fldCharType="separate"/>
          </w:r>
          <w:r>
            <w:rPr>
              <w:rFonts w:eastAsia="宋体" w:cs="Times New Roman"/>
              <w:bCs/>
              <w:szCs w:val="26"/>
            </w:rPr>
            <w:t>5.2 分析自然相关机遇</w:t>
          </w:r>
          <w:r>
            <w:rPr>
              <w:rFonts w:cs="Times New Roman"/>
            </w:rPr>
            <w:tab/>
          </w:r>
          <w:r>
            <w:rPr>
              <w:rFonts w:cs="Times New Roman"/>
            </w:rPr>
            <w:fldChar w:fldCharType="begin"/>
          </w:r>
          <w:r>
            <w:rPr>
              <w:rFonts w:cs="Times New Roman"/>
            </w:rPr>
            <w:instrText xml:space="preserve"> PAGEREF _Toc20127 \h </w:instrText>
          </w:r>
          <w:r>
            <w:rPr>
              <w:rFonts w:cs="Times New Roman"/>
            </w:rPr>
            <w:fldChar w:fldCharType="separate"/>
          </w:r>
          <w:r>
            <w:rPr>
              <w:rFonts w:cs="Times New Roman"/>
            </w:rPr>
            <w:t>36</w:t>
          </w:r>
          <w:r>
            <w:rPr>
              <w:rFonts w:cs="Times New Roman"/>
            </w:rPr>
            <w:fldChar w:fldCharType="end"/>
          </w:r>
          <w:r>
            <w:rPr>
              <w:rFonts w:cs="Times New Roman"/>
            </w:rPr>
            <w:fldChar w:fldCharType="end"/>
          </w:r>
        </w:p>
        <w:p w14:paraId="1C895AEC">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_Toc8409 </w:instrText>
          </w:r>
          <w:r>
            <w:rPr>
              <w:rFonts w:cs="Times New Roman"/>
            </w:rPr>
            <w:fldChar w:fldCharType="separate"/>
          </w:r>
          <w:r>
            <w:rPr>
              <w:rFonts w:eastAsia="宋体" w:cs="Times New Roman"/>
              <w:bCs/>
              <w:szCs w:val="26"/>
            </w:rPr>
            <w:t>5.3 完善自然相关风险与机遇管理策略</w:t>
          </w:r>
          <w:r>
            <w:rPr>
              <w:rFonts w:cs="Times New Roman"/>
            </w:rPr>
            <w:tab/>
          </w:r>
          <w:r>
            <w:rPr>
              <w:rFonts w:cs="Times New Roman"/>
            </w:rPr>
            <w:fldChar w:fldCharType="begin"/>
          </w:r>
          <w:r>
            <w:rPr>
              <w:rFonts w:cs="Times New Roman"/>
            </w:rPr>
            <w:instrText xml:space="preserve"> PAGEREF _Toc8409 \h </w:instrText>
          </w:r>
          <w:r>
            <w:rPr>
              <w:rFonts w:cs="Times New Roman"/>
            </w:rPr>
            <w:fldChar w:fldCharType="separate"/>
          </w:r>
          <w:r>
            <w:rPr>
              <w:rFonts w:cs="Times New Roman"/>
            </w:rPr>
            <w:t>38</w:t>
          </w:r>
          <w:r>
            <w:rPr>
              <w:rFonts w:cs="Times New Roman"/>
            </w:rPr>
            <w:fldChar w:fldCharType="end"/>
          </w:r>
          <w:r>
            <w:rPr>
              <w:rFonts w:cs="Times New Roman"/>
            </w:rPr>
            <w:fldChar w:fldCharType="end"/>
          </w:r>
        </w:p>
        <w:p w14:paraId="5F8EC13C">
          <w:pPr>
            <w:pStyle w:val="30"/>
            <w:tabs>
              <w:tab w:val="right" w:leader="dot" w:pos="8306"/>
            </w:tabs>
            <w:ind w:firstLine="560"/>
            <w:rPr>
              <w:rFonts w:cs="Times New Roman"/>
            </w:rPr>
          </w:pPr>
          <w:r>
            <w:rPr>
              <w:rFonts w:cs="Times New Roman"/>
            </w:rPr>
            <w:fldChar w:fldCharType="begin"/>
          </w:r>
          <w:r>
            <w:rPr>
              <w:rFonts w:cs="Times New Roman"/>
            </w:rPr>
            <w:instrText xml:space="preserve"> HYPERLINK \l _Toc58 </w:instrText>
          </w:r>
          <w:r>
            <w:rPr>
              <w:rFonts w:cs="Times New Roman"/>
            </w:rPr>
            <w:fldChar w:fldCharType="separate"/>
          </w:r>
          <w:r>
            <w:rPr>
              <w:rFonts w:eastAsia="宋体" w:cs="Times New Roman"/>
              <w:bCs/>
              <w:szCs w:val="28"/>
            </w:rPr>
            <w:t>6 指标和目标</w:t>
          </w:r>
          <w:r>
            <w:rPr>
              <w:rFonts w:cs="Times New Roman"/>
            </w:rPr>
            <w:tab/>
          </w:r>
          <w:r>
            <w:rPr>
              <w:rFonts w:cs="Times New Roman"/>
            </w:rPr>
            <w:fldChar w:fldCharType="begin"/>
          </w:r>
          <w:r>
            <w:rPr>
              <w:rFonts w:cs="Times New Roman"/>
            </w:rPr>
            <w:instrText xml:space="preserve"> PAGEREF _Toc58 \h </w:instrText>
          </w:r>
          <w:r>
            <w:rPr>
              <w:rFonts w:cs="Times New Roman"/>
            </w:rPr>
            <w:fldChar w:fldCharType="separate"/>
          </w:r>
          <w:r>
            <w:rPr>
              <w:rFonts w:cs="Times New Roman"/>
            </w:rPr>
            <w:t>50</w:t>
          </w:r>
          <w:r>
            <w:rPr>
              <w:rFonts w:cs="Times New Roman"/>
            </w:rPr>
            <w:fldChar w:fldCharType="end"/>
          </w:r>
          <w:r>
            <w:rPr>
              <w:rFonts w:cs="Times New Roman"/>
            </w:rPr>
            <w:fldChar w:fldCharType="end"/>
          </w:r>
        </w:p>
        <w:p w14:paraId="158B5B1A">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_Toc8852 </w:instrText>
          </w:r>
          <w:r>
            <w:rPr>
              <w:rFonts w:cs="Times New Roman"/>
            </w:rPr>
            <w:fldChar w:fldCharType="separate"/>
          </w:r>
          <w:r>
            <w:rPr>
              <w:rFonts w:eastAsia="宋体" w:cs="Times New Roman"/>
              <w:bCs/>
              <w:szCs w:val="26"/>
            </w:rPr>
            <w:t>6.1 自然相关依赖与影响、风险与机遇指标</w:t>
          </w:r>
          <w:r>
            <w:rPr>
              <w:rFonts w:cs="Times New Roman"/>
            </w:rPr>
            <w:tab/>
          </w:r>
          <w:r>
            <w:rPr>
              <w:rFonts w:cs="Times New Roman"/>
            </w:rPr>
            <w:fldChar w:fldCharType="begin"/>
          </w:r>
          <w:r>
            <w:rPr>
              <w:rFonts w:cs="Times New Roman"/>
            </w:rPr>
            <w:instrText xml:space="preserve"> PAGEREF _Toc8852 \h </w:instrText>
          </w:r>
          <w:r>
            <w:rPr>
              <w:rFonts w:cs="Times New Roman"/>
            </w:rPr>
            <w:fldChar w:fldCharType="separate"/>
          </w:r>
          <w:r>
            <w:rPr>
              <w:rFonts w:cs="Times New Roman"/>
            </w:rPr>
            <w:t>50</w:t>
          </w:r>
          <w:r>
            <w:rPr>
              <w:rFonts w:cs="Times New Roman"/>
            </w:rPr>
            <w:fldChar w:fldCharType="end"/>
          </w:r>
          <w:r>
            <w:rPr>
              <w:rFonts w:cs="Times New Roman"/>
            </w:rPr>
            <w:fldChar w:fldCharType="end"/>
          </w:r>
        </w:p>
        <w:p w14:paraId="21C0824E">
          <w:pPr>
            <w:pStyle w:val="32"/>
            <w:tabs>
              <w:tab w:val="right" w:leader="dot" w:pos="8306"/>
            </w:tabs>
            <w:ind w:left="560" w:firstLine="560"/>
            <w:rPr>
              <w:rFonts w:cs="Times New Roman"/>
            </w:rPr>
          </w:pPr>
          <w:r>
            <w:rPr>
              <w:rFonts w:cs="Times New Roman"/>
            </w:rPr>
            <w:fldChar w:fldCharType="begin"/>
          </w:r>
          <w:r>
            <w:rPr>
              <w:rFonts w:cs="Times New Roman"/>
            </w:rPr>
            <w:instrText xml:space="preserve"> HYPERLINK \l _Toc29183 </w:instrText>
          </w:r>
          <w:r>
            <w:rPr>
              <w:rFonts w:cs="Times New Roman"/>
            </w:rPr>
            <w:fldChar w:fldCharType="separate"/>
          </w:r>
          <w:r>
            <w:rPr>
              <w:rFonts w:eastAsia="宋体" w:cs="Times New Roman"/>
              <w:bCs/>
              <w:szCs w:val="26"/>
            </w:rPr>
            <w:t>6.2 自然相关依赖与影响、风险与机遇目标</w:t>
          </w:r>
          <w:r>
            <w:rPr>
              <w:rFonts w:cs="Times New Roman"/>
            </w:rPr>
            <w:tab/>
          </w:r>
          <w:r>
            <w:rPr>
              <w:rFonts w:cs="Times New Roman"/>
            </w:rPr>
            <w:fldChar w:fldCharType="begin"/>
          </w:r>
          <w:r>
            <w:rPr>
              <w:rFonts w:cs="Times New Roman"/>
            </w:rPr>
            <w:instrText xml:space="preserve"> PAGEREF _Toc29183 \h </w:instrText>
          </w:r>
          <w:r>
            <w:rPr>
              <w:rFonts w:cs="Times New Roman"/>
            </w:rPr>
            <w:fldChar w:fldCharType="separate"/>
          </w:r>
          <w:r>
            <w:rPr>
              <w:rFonts w:cs="Times New Roman"/>
            </w:rPr>
            <w:t>51</w:t>
          </w:r>
          <w:r>
            <w:rPr>
              <w:rFonts w:cs="Times New Roman"/>
            </w:rPr>
            <w:fldChar w:fldCharType="end"/>
          </w:r>
          <w:r>
            <w:rPr>
              <w:rFonts w:cs="Times New Roman"/>
            </w:rPr>
            <w:fldChar w:fldCharType="end"/>
          </w:r>
        </w:p>
        <w:p w14:paraId="4495116F">
          <w:pPr>
            <w:pStyle w:val="30"/>
            <w:tabs>
              <w:tab w:val="right" w:leader="dot" w:pos="8306"/>
            </w:tabs>
            <w:ind w:firstLine="560"/>
            <w:rPr>
              <w:rFonts w:cs="Times New Roman"/>
            </w:rPr>
          </w:pPr>
          <w:r>
            <w:rPr>
              <w:rFonts w:cs="Times New Roman"/>
            </w:rPr>
            <w:fldChar w:fldCharType="begin"/>
          </w:r>
          <w:r>
            <w:rPr>
              <w:rFonts w:cs="Times New Roman"/>
            </w:rPr>
            <w:instrText xml:space="preserve"> HYPERLINK \l _Toc14470 </w:instrText>
          </w:r>
          <w:r>
            <w:rPr>
              <w:rFonts w:cs="Times New Roman"/>
            </w:rPr>
            <w:fldChar w:fldCharType="separate"/>
          </w:r>
          <w:r>
            <w:rPr>
              <w:rFonts w:eastAsia="宋体" w:cs="Times New Roman"/>
              <w:bCs/>
              <w:szCs w:val="28"/>
            </w:rPr>
            <w:t>附录：TNFD索引</w:t>
          </w:r>
          <w:r>
            <w:rPr>
              <w:rFonts w:cs="Times New Roman"/>
            </w:rPr>
            <w:tab/>
          </w:r>
          <w:r>
            <w:rPr>
              <w:rFonts w:cs="Times New Roman"/>
            </w:rPr>
            <w:fldChar w:fldCharType="begin"/>
          </w:r>
          <w:r>
            <w:rPr>
              <w:rFonts w:cs="Times New Roman"/>
            </w:rPr>
            <w:instrText xml:space="preserve"> PAGEREF _Toc14470 \h </w:instrText>
          </w:r>
          <w:r>
            <w:rPr>
              <w:rFonts w:cs="Times New Roman"/>
            </w:rPr>
            <w:fldChar w:fldCharType="separate"/>
          </w:r>
          <w:r>
            <w:rPr>
              <w:rFonts w:cs="Times New Roman"/>
            </w:rPr>
            <w:t>52</w:t>
          </w:r>
          <w:r>
            <w:rPr>
              <w:rFonts w:cs="Times New Roman"/>
            </w:rPr>
            <w:fldChar w:fldCharType="end"/>
          </w:r>
          <w:r>
            <w:rPr>
              <w:rFonts w:cs="Times New Roman"/>
            </w:rPr>
            <w:fldChar w:fldCharType="end"/>
          </w:r>
        </w:p>
        <w:p w14:paraId="0EE56E0F">
          <w:pPr>
            <w:ind w:firstLine="560"/>
          </w:pPr>
          <w:r>
            <w:rPr>
              <w:rFonts w:cs="Times New Roman"/>
            </w:rPr>
            <w:fldChar w:fldCharType="end"/>
          </w:r>
        </w:p>
      </w:sdtContent>
    </w:sdt>
    <w:p w14:paraId="2AF36BDA">
      <w:pPr>
        <w:ind w:firstLine="560"/>
      </w:pPr>
    </w:p>
    <w:p w14:paraId="608FCAC2">
      <w:pPr>
        <w:ind w:firstLine="560"/>
        <w:rPr>
          <w:rFonts w:ascii="宋体" w:hAnsi="宋体" w:eastAsia="宋体" w:cs="宋体"/>
        </w:rPr>
        <w:sectPr>
          <w:footerReference r:id="rId14" w:type="first"/>
          <w:footerReference r:id="rId13" w:type="default"/>
          <w:pgSz w:w="11906" w:h="16838"/>
          <w:pgMar w:top="1440" w:right="1800" w:bottom="1440" w:left="1800" w:header="851" w:footer="992" w:gutter="0"/>
          <w:pgNumType w:start="1"/>
          <w:cols w:space="425" w:num="1"/>
          <w:titlePg/>
          <w:docGrid w:type="lines" w:linePitch="312" w:charSpace="0"/>
        </w:sectPr>
      </w:pPr>
      <w:r>
        <w:rPr>
          <w:rFonts w:hint="eastAsia" w:ascii="宋体" w:hAnsi="宋体" w:eastAsia="宋体" w:cs="宋体"/>
        </w:rPr>
        <w:br w:type="page"/>
      </w:r>
    </w:p>
    <w:p w14:paraId="6670D0E6">
      <w:pPr>
        <w:pStyle w:val="2"/>
        <w:rPr>
          <w:rFonts w:ascii="宋体" w:hAnsi="宋体" w:eastAsia="宋体" w:cs="宋体"/>
        </w:rPr>
      </w:pPr>
      <w:bookmarkStart w:id="0" w:name="_Toc31122"/>
      <w:bookmarkStart w:id="1" w:name="_Toc21401"/>
      <w:bookmarkStart w:id="2" w:name="_Toc30048"/>
      <w:bookmarkStart w:id="3" w:name="_Toc5150"/>
      <w:bookmarkStart w:id="4" w:name="_Toc26346"/>
      <w:bookmarkStart w:id="5" w:name="_Toc11266"/>
      <w:bookmarkStart w:id="6" w:name="_Toc7297"/>
      <w:bookmarkStart w:id="7" w:name="_Toc22740"/>
      <w:bookmarkStart w:id="8" w:name="_Toc18220"/>
      <w:bookmarkStart w:id="9" w:name="_Toc1760"/>
      <w:bookmarkStart w:id="10" w:name="_Toc7719"/>
      <w:bookmarkStart w:id="11" w:name="_Toc30836"/>
      <w:bookmarkStart w:id="12" w:name="_Toc25779"/>
      <w:bookmarkStart w:id="13" w:name="_Toc9461"/>
      <w:bookmarkStart w:id="14" w:name="_Toc3331"/>
      <w:bookmarkStart w:id="15" w:name="_Toc12024"/>
      <w:bookmarkStart w:id="16" w:name="_Toc1783"/>
      <w:bookmarkStart w:id="17" w:name="_Toc9589"/>
      <w:bookmarkStart w:id="18" w:name="_Toc23255"/>
      <w:bookmarkStart w:id="19" w:name="_Toc28044"/>
      <w:bookmarkStart w:id="20" w:name="_Toc14335"/>
      <w:bookmarkStart w:id="21" w:name="_Toc10992"/>
      <w:bookmarkStart w:id="22" w:name="_Toc22746"/>
      <w:bookmarkStart w:id="23" w:name="_Toc16611"/>
      <w:bookmarkStart w:id="24" w:name="_Toc20457"/>
      <w:bookmarkStart w:id="25" w:name="_Toc30818"/>
      <w:bookmarkStart w:id="26" w:name="_Toc11234"/>
      <w:bookmarkStart w:id="27" w:name="_Toc23803"/>
      <w:bookmarkStart w:id="28" w:name="_Toc225235180"/>
      <w:bookmarkStart w:id="29" w:name="_Toc6699"/>
      <w:bookmarkStart w:id="30" w:name="_Toc9587"/>
      <w:bookmarkStart w:id="31" w:name="_Toc305"/>
      <w:bookmarkStart w:id="32" w:name="_Toc3348"/>
      <w:bookmarkStart w:id="33" w:name="_Toc7290"/>
      <w:bookmarkStart w:id="34" w:name="_Toc30881"/>
      <w:bookmarkStart w:id="35" w:name="_Toc15596"/>
      <w:r>
        <w:rPr>
          <w:rFonts w:hint="eastAsia" w:ascii="宋体" w:hAnsi="宋体" w:eastAsia="宋体" w:cs="宋体"/>
        </w:rPr>
        <w:t>关于本报告</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2F10DF6A">
      <w:pPr>
        <w:ind w:firstLine="560"/>
        <w:rPr>
          <w:rFonts w:ascii="宋体" w:hAnsi="宋体" w:eastAsia="宋体" w:cs="宋体"/>
        </w:rPr>
      </w:pPr>
      <w:r>
        <w:rPr>
          <w:rFonts w:hint="eastAsia" w:ascii="宋体" w:hAnsi="宋体" w:eastAsia="宋体" w:cs="宋体"/>
        </w:rPr>
        <w:t>在中共中央、国务院《关于加快推进生态文明建设的意见》《生态文明体制改革总体方案》及相关生态环境保护、绿色金融政策指引下，本行立足内蒙古乌海市资源型城市转型发展的实际，切实履行地方性金融机构服务实体经济和绿色发展的责任担当，持续完善绿色金融服务体系，积极支持节能降碳、清洁能源、生态治理、产业转型升级等重点领域融资需求，深入践行低碳运营理念，助力乌海市加快推进绿色低碳转型和生态文明建设，以金融力量服务黄河流域生态保护和高质量发展，为区域经济社会可持续发展贡献金融力量。</w:t>
      </w:r>
    </w:p>
    <w:p w14:paraId="6D30066D">
      <w:pPr>
        <w:ind w:firstLine="560"/>
        <w:rPr>
          <w:rFonts w:ascii="宋体" w:hAnsi="宋体" w:eastAsia="宋体" w:cs="宋体"/>
        </w:rPr>
      </w:pPr>
      <w:r>
        <w:rPr>
          <w:rFonts w:hint="eastAsia" w:ascii="宋体" w:hAnsi="宋体" w:eastAsia="宋体" w:cs="宋体"/>
        </w:rPr>
        <w:t>本报告是本行首次依据</w:t>
      </w:r>
      <w:r>
        <w:rPr>
          <w:rFonts w:eastAsia="宋体" w:cs="Times New Roman"/>
        </w:rPr>
        <w:t>TNFD</w:t>
      </w:r>
      <w:r>
        <w:rPr>
          <w:rFonts w:hint="eastAsia" w:ascii="宋体" w:hAnsi="宋体" w:eastAsia="宋体" w:cs="宋体"/>
        </w:rPr>
        <w:t>发布的《自然相关财务信息披露建议》及《金融机构附加披露指南》编制的自然相关信息披露报告，系统梳理了本行在自然相关治理、战略、风险管理、指标与目标四大维度的实践举措与进展成效。报告编制过程中，本行严格遵循“治理-战略-风险和</w:t>
      </w:r>
      <w:r>
        <w:rPr>
          <w:rFonts w:hint="eastAsia" w:ascii="宋体" w:hAnsi="宋体" w:eastAsia="宋体" w:cs="宋体"/>
          <w:lang w:val="en-US" w:eastAsia="zh-CN"/>
        </w:rPr>
        <w:t>机遇</w:t>
      </w:r>
      <w:r>
        <w:rPr>
          <w:rFonts w:hint="eastAsia" w:ascii="宋体" w:hAnsi="宋体" w:eastAsia="宋体" w:cs="宋体"/>
        </w:rPr>
        <w:t>管理-指标和目标”框架，全面评估了业务运营及投融资活动对自然的依赖与影响，精准识别了潜在的自然相关风险与机遇，确保披露信息的真实性、相关性与完整性。</w:t>
      </w:r>
    </w:p>
    <w:p w14:paraId="667369DF">
      <w:pPr>
        <w:pStyle w:val="53"/>
        <w:numPr>
          <w:ilvl w:val="0"/>
          <w:numId w:val="3"/>
        </w:numPr>
        <w:ind w:firstLineChars="0"/>
        <w:rPr>
          <w:rFonts w:ascii="宋体" w:hAnsi="宋体" w:eastAsia="宋体" w:cs="宋体"/>
        </w:rPr>
      </w:pPr>
      <w:r>
        <w:rPr>
          <w:rFonts w:hint="eastAsia" w:ascii="宋体" w:hAnsi="宋体" w:eastAsia="宋体" w:cs="宋体"/>
        </w:rPr>
        <w:t>时间范围</w:t>
      </w:r>
    </w:p>
    <w:p w14:paraId="74B18DF7">
      <w:pPr>
        <w:ind w:firstLine="560"/>
        <w:rPr>
          <w:rFonts w:ascii="宋体" w:hAnsi="宋体" w:eastAsia="宋体" w:cs="宋体"/>
        </w:rPr>
      </w:pPr>
      <w:r>
        <w:rPr>
          <w:rFonts w:eastAsia="宋体" w:cs="Times New Roman"/>
        </w:rPr>
        <w:t>2025</w:t>
      </w:r>
      <w:r>
        <w:rPr>
          <w:rFonts w:hint="eastAsia" w:ascii="宋体" w:hAnsi="宋体" w:eastAsia="宋体" w:cs="宋体"/>
        </w:rPr>
        <w:t>年</w:t>
      </w:r>
      <w:r>
        <w:rPr>
          <w:rFonts w:eastAsia="宋体" w:cs="Times New Roman"/>
        </w:rPr>
        <w:t>1</w:t>
      </w:r>
      <w:r>
        <w:rPr>
          <w:rFonts w:hint="eastAsia" w:ascii="宋体" w:hAnsi="宋体" w:eastAsia="宋体" w:cs="宋体"/>
        </w:rPr>
        <w:t>月</w:t>
      </w:r>
      <w:r>
        <w:rPr>
          <w:rFonts w:eastAsia="宋体" w:cs="Times New Roman"/>
        </w:rPr>
        <w:t>1</w:t>
      </w:r>
      <w:r>
        <w:rPr>
          <w:rFonts w:hint="eastAsia" w:ascii="宋体" w:hAnsi="宋体" w:eastAsia="宋体" w:cs="宋体"/>
        </w:rPr>
        <w:t>日至</w:t>
      </w:r>
      <w:r>
        <w:rPr>
          <w:rFonts w:eastAsia="宋体" w:cs="Times New Roman"/>
        </w:rPr>
        <w:t>2025</w:t>
      </w:r>
      <w:r>
        <w:rPr>
          <w:rFonts w:hint="eastAsia" w:ascii="宋体" w:hAnsi="宋体" w:eastAsia="宋体" w:cs="宋体"/>
        </w:rPr>
        <w:t>年</w:t>
      </w:r>
      <w:r>
        <w:rPr>
          <w:rFonts w:eastAsia="宋体" w:cs="Times New Roman"/>
        </w:rPr>
        <w:t>12</w:t>
      </w:r>
      <w:r>
        <w:rPr>
          <w:rFonts w:hint="eastAsia" w:ascii="宋体" w:hAnsi="宋体" w:eastAsia="宋体" w:cs="宋体"/>
        </w:rPr>
        <w:t>月</w:t>
      </w:r>
      <w:r>
        <w:rPr>
          <w:rFonts w:eastAsia="宋体" w:cs="Times New Roman"/>
        </w:rPr>
        <w:t>31</w:t>
      </w:r>
      <w:r>
        <w:rPr>
          <w:rFonts w:hint="eastAsia" w:ascii="宋体" w:hAnsi="宋体" w:eastAsia="宋体" w:cs="宋体"/>
        </w:rPr>
        <w:t>日，部分内容向前后适度延伸。</w:t>
      </w:r>
    </w:p>
    <w:p w14:paraId="5AA02388">
      <w:pPr>
        <w:pStyle w:val="53"/>
        <w:numPr>
          <w:ilvl w:val="0"/>
          <w:numId w:val="3"/>
        </w:numPr>
        <w:ind w:firstLineChars="0"/>
        <w:rPr>
          <w:rFonts w:ascii="宋体" w:hAnsi="宋体" w:eastAsia="宋体" w:cs="宋体"/>
        </w:rPr>
      </w:pPr>
      <w:r>
        <w:rPr>
          <w:rFonts w:hint="eastAsia" w:ascii="宋体" w:hAnsi="宋体" w:eastAsia="宋体" w:cs="宋体"/>
        </w:rPr>
        <w:t>组织范围</w:t>
      </w:r>
    </w:p>
    <w:p w14:paraId="4C7FFA56">
      <w:pPr>
        <w:ind w:firstLine="560"/>
        <w:rPr>
          <w:rFonts w:ascii="宋体" w:hAnsi="宋体" w:eastAsia="宋体" w:cs="宋体"/>
        </w:rPr>
      </w:pPr>
      <w:r>
        <w:rPr>
          <w:rFonts w:hint="eastAsia" w:ascii="宋体" w:hAnsi="宋体" w:eastAsia="宋体" w:cs="宋体"/>
        </w:rPr>
        <w:t>本报告有关数据以乌海银行股份有限公司为主体，除特别说明外，本报告组织范围与本行年报范围保持一致。</w:t>
      </w:r>
    </w:p>
    <w:p w14:paraId="64B39E97">
      <w:pPr>
        <w:pStyle w:val="53"/>
        <w:numPr>
          <w:ilvl w:val="0"/>
          <w:numId w:val="3"/>
        </w:numPr>
        <w:ind w:firstLineChars="0"/>
        <w:rPr>
          <w:rFonts w:ascii="宋体" w:hAnsi="宋体" w:eastAsia="宋体" w:cs="宋体"/>
        </w:rPr>
      </w:pPr>
      <w:r>
        <w:rPr>
          <w:rFonts w:hint="eastAsia" w:ascii="宋体" w:hAnsi="宋体" w:eastAsia="宋体" w:cs="宋体"/>
        </w:rPr>
        <w:t>数据来源与可靠性保证</w:t>
      </w:r>
    </w:p>
    <w:p w14:paraId="59D7EF87">
      <w:pPr>
        <w:ind w:firstLine="560"/>
        <w:rPr>
          <w:rFonts w:ascii="宋体" w:hAnsi="宋体" w:eastAsia="宋体" w:cs="宋体"/>
        </w:rPr>
      </w:pPr>
      <w:r>
        <w:rPr>
          <w:rFonts w:hint="eastAsia" w:ascii="宋体" w:hAnsi="宋体" w:eastAsia="宋体" w:cs="宋体"/>
        </w:rPr>
        <w:t>本报告所使用数据均来自乌海银行股份有限公司正式文件、统计报告或有关公开资料，保证本报告内容不存在任何虚假记载、误导性陈述或重大遗漏。</w:t>
      </w:r>
    </w:p>
    <w:p w14:paraId="4C0D04BB">
      <w:pPr>
        <w:pStyle w:val="53"/>
        <w:numPr>
          <w:ilvl w:val="0"/>
          <w:numId w:val="3"/>
        </w:numPr>
        <w:ind w:firstLineChars="0"/>
        <w:rPr>
          <w:rFonts w:ascii="宋体" w:hAnsi="宋体" w:eastAsia="宋体" w:cs="宋体"/>
        </w:rPr>
      </w:pPr>
      <w:r>
        <w:rPr>
          <w:rFonts w:hint="eastAsia" w:ascii="宋体" w:hAnsi="宋体" w:eastAsia="宋体" w:cs="宋体"/>
        </w:rPr>
        <w:t>称谓说明</w:t>
      </w:r>
    </w:p>
    <w:p w14:paraId="2A7B48FC">
      <w:pPr>
        <w:ind w:firstLine="560"/>
        <w:rPr>
          <w:rFonts w:ascii="宋体" w:hAnsi="宋体" w:eastAsia="宋体" w:cs="宋体"/>
        </w:rPr>
      </w:pPr>
      <w:r>
        <w:rPr>
          <w:rFonts w:hint="eastAsia" w:ascii="宋体" w:hAnsi="宋体" w:eastAsia="宋体" w:cs="宋体"/>
        </w:rPr>
        <w:t>为便于表述和阅读，“乌海银行股份有限公司”在本报告中也以“乌海银行”“我行”或“本行”等称谓表示。</w:t>
      </w:r>
    </w:p>
    <w:p w14:paraId="22F2A4D3">
      <w:pPr>
        <w:pStyle w:val="53"/>
        <w:numPr>
          <w:ilvl w:val="0"/>
          <w:numId w:val="3"/>
        </w:numPr>
        <w:ind w:firstLineChars="0"/>
        <w:rPr>
          <w:rFonts w:ascii="宋体" w:hAnsi="宋体" w:eastAsia="宋体" w:cs="宋体"/>
        </w:rPr>
      </w:pPr>
      <w:r>
        <w:rPr>
          <w:rFonts w:hint="eastAsia" w:ascii="宋体" w:hAnsi="宋体" w:eastAsia="宋体" w:cs="宋体"/>
        </w:rPr>
        <w:t>计量币种</w:t>
      </w:r>
    </w:p>
    <w:p w14:paraId="5377F891">
      <w:pPr>
        <w:pStyle w:val="53"/>
        <w:numPr>
          <w:ilvl w:val="255"/>
          <w:numId w:val="0"/>
        </w:numPr>
        <w:ind w:left="480"/>
        <w:rPr>
          <w:rFonts w:ascii="宋体" w:hAnsi="宋体" w:eastAsia="宋体" w:cs="宋体"/>
        </w:rPr>
      </w:pPr>
      <w:r>
        <w:rPr>
          <w:rFonts w:hint="eastAsia" w:ascii="宋体" w:hAnsi="宋体" w:eastAsia="宋体" w:cs="宋体"/>
        </w:rPr>
        <w:t>本报告涉及的货币金额均以人民币为计量币种。</w:t>
      </w:r>
    </w:p>
    <w:p w14:paraId="56ABB739">
      <w:pPr>
        <w:pStyle w:val="53"/>
        <w:numPr>
          <w:ilvl w:val="0"/>
          <w:numId w:val="3"/>
        </w:numPr>
        <w:ind w:firstLineChars="0"/>
        <w:rPr>
          <w:rFonts w:ascii="宋体" w:hAnsi="宋体" w:eastAsia="宋体" w:cs="宋体"/>
        </w:rPr>
      </w:pPr>
      <w:r>
        <w:rPr>
          <w:rFonts w:hint="eastAsia" w:ascii="宋体" w:hAnsi="宋体" w:eastAsia="宋体" w:cs="宋体"/>
        </w:rPr>
        <w:t>报告获取</w:t>
      </w:r>
    </w:p>
    <w:p w14:paraId="14A0F115">
      <w:pPr>
        <w:ind w:firstLine="560"/>
        <w:rPr>
          <w:rFonts w:ascii="宋体" w:hAnsi="宋体" w:eastAsia="宋体" w:cs="宋体"/>
          <w:szCs w:val="24"/>
        </w:rPr>
      </w:pPr>
      <w:r>
        <w:rPr>
          <w:rFonts w:hint="eastAsia" w:ascii="宋体" w:hAnsi="宋体" w:eastAsia="宋体" w:cs="宋体"/>
        </w:rPr>
        <w:t>本报告以电子版方式发布。您可以通过以下方式与我们联系获取本报告电子版本</w:t>
      </w:r>
      <w:r>
        <w:rPr>
          <w:rFonts w:hint="eastAsia" w:ascii="宋体" w:hAnsi="宋体" w:eastAsia="宋体" w:cs="宋体"/>
          <w:szCs w:val="24"/>
        </w:rPr>
        <w:t>。</w:t>
      </w:r>
    </w:p>
    <w:p w14:paraId="4B52AF87">
      <w:pPr>
        <w:ind w:firstLine="560"/>
        <w:rPr>
          <w:rFonts w:eastAsia="宋体" w:cs="Times New Roman"/>
          <w:color w:val="000000" w:themeColor="text1"/>
          <w14:textFill>
            <w14:solidFill>
              <w14:schemeClr w14:val="tx1"/>
            </w14:solidFill>
          </w14:textFill>
        </w:rPr>
      </w:pPr>
      <w:r>
        <w:rPr>
          <w:rFonts w:eastAsia="宋体" w:cs="Times New Roman"/>
          <w:color w:val="000000" w:themeColor="text1"/>
          <w14:textFill>
            <w14:solidFill>
              <w14:schemeClr w14:val="tx1"/>
            </w14:solidFill>
          </w14:textFill>
        </w:rPr>
        <w:t>联系电话：0473-6968611</w:t>
      </w:r>
    </w:p>
    <w:p w14:paraId="2EB3D5E6">
      <w:pPr>
        <w:ind w:firstLine="560"/>
        <w:rPr>
          <w:rStyle w:val="47"/>
          <w:rFonts w:ascii="宋体" w:hAnsi="宋体" w:eastAsia="宋体" w:cs="宋体"/>
          <w:color w:val="000000" w:themeColor="text1"/>
          <w:sz w:val="28"/>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通讯地址：</w:t>
      </w:r>
      <w:r>
        <w:rPr>
          <w:rStyle w:val="47"/>
          <w:rFonts w:hint="eastAsia" w:ascii="宋体" w:hAnsi="宋体" w:eastAsia="宋体" w:cs="宋体"/>
          <w:color w:val="000000" w:themeColor="text1"/>
          <w:sz w:val="28"/>
          <w:szCs w:val="22"/>
          <w14:textFill>
            <w14:solidFill>
              <w14:schemeClr w14:val="tx1"/>
            </w14:solidFill>
          </w14:textFill>
        </w:rPr>
        <w:t>内蒙古自治区乌海市海勃湾区狮城东街</w:t>
      </w:r>
      <w:r>
        <w:rPr>
          <w:rStyle w:val="47"/>
          <w:rFonts w:eastAsia="宋体" w:cs="Times New Roman"/>
          <w:color w:val="000000" w:themeColor="text1"/>
          <w:sz w:val="28"/>
          <w:szCs w:val="22"/>
          <w14:textFill>
            <w14:solidFill>
              <w14:schemeClr w14:val="tx1"/>
            </w14:solidFill>
          </w14:textFill>
        </w:rPr>
        <w:t>5</w:t>
      </w:r>
      <w:r>
        <w:rPr>
          <w:rStyle w:val="47"/>
          <w:rFonts w:hint="eastAsia" w:ascii="宋体" w:hAnsi="宋体" w:eastAsia="宋体" w:cs="宋体"/>
          <w:color w:val="000000" w:themeColor="text1"/>
          <w:sz w:val="28"/>
          <w:szCs w:val="22"/>
          <w14:textFill>
            <w14:solidFill>
              <w14:schemeClr w14:val="tx1"/>
            </w14:solidFill>
          </w14:textFill>
        </w:rPr>
        <w:t>号</w:t>
      </w:r>
    </w:p>
    <w:p w14:paraId="7475E5A3">
      <w:pPr>
        <w:ind w:firstLine="560"/>
        <w:rPr>
          <w:rStyle w:val="47"/>
          <w:rFonts w:eastAsia="宋体" w:cs="Times New Roman"/>
          <w:color w:val="000000" w:themeColor="text1"/>
          <w:sz w:val="28"/>
          <w:szCs w:val="22"/>
          <w14:textFill>
            <w14:solidFill>
              <w14:schemeClr w14:val="tx1"/>
            </w14:solidFill>
          </w14:textFill>
        </w:rPr>
      </w:pPr>
      <w:r>
        <w:rPr>
          <w:rStyle w:val="47"/>
          <w:rFonts w:eastAsia="宋体" w:cs="Times New Roman"/>
          <w:color w:val="000000" w:themeColor="text1"/>
          <w:sz w:val="28"/>
          <w:szCs w:val="22"/>
          <w14:textFill>
            <w14:solidFill>
              <w14:schemeClr w14:val="tx1"/>
            </w14:solidFill>
          </w14:textFill>
        </w:rPr>
        <w:t>网址：http://www.wuhaicb.com</w:t>
      </w:r>
    </w:p>
    <w:p w14:paraId="64025A7A">
      <w:pPr>
        <w:ind w:firstLine="560"/>
        <w:rPr>
          <w:rStyle w:val="47"/>
          <w:rFonts w:ascii="宋体" w:hAnsi="宋体" w:eastAsia="宋体" w:cs="宋体"/>
          <w:color w:val="000000" w:themeColor="text1"/>
          <w:sz w:val="28"/>
          <w:szCs w:val="22"/>
          <w:highlight w:val="none"/>
          <w14:textFill>
            <w14:solidFill>
              <w14:schemeClr w14:val="tx1"/>
            </w14:solidFill>
          </w14:textFill>
        </w:rPr>
      </w:pPr>
      <w:r>
        <w:rPr>
          <w:rStyle w:val="47"/>
          <w:rFonts w:hint="eastAsia" w:ascii="宋体" w:hAnsi="宋体" w:eastAsia="宋体" w:cs="宋体"/>
          <w:color w:val="000000" w:themeColor="text1"/>
          <w:sz w:val="28"/>
          <w:szCs w:val="22"/>
          <w:highlight w:val="none"/>
          <w14:textFill>
            <w14:solidFill>
              <w14:schemeClr w14:val="tx1"/>
            </w14:solidFill>
          </w14:textFill>
        </w:rPr>
        <w:br w:type="page"/>
      </w:r>
    </w:p>
    <w:p w14:paraId="335D4B9D">
      <w:pPr>
        <w:pStyle w:val="2"/>
        <w:rPr>
          <w:rFonts w:ascii="宋体" w:hAnsi="宋体" w:eastAsia="宋体" w:cs="宋体"/>
        </w:rPr>
      </w:pPr>
      <w:bookmarkStart w:id="36" w:name="_Toc225235181"/>
      <w:bookmarkStart w:id="37" w:name="_Toc12336"/>
      <w:bookmarkStart w:id="38" w:name="_Toc11786"/>
      <w:bookmarkStart w:id="39" w:name="_Toc2251"/>
      <w:bookmarkStart w:id="40" w:name="_Toc11342"/>
      <w:r>
        <w:rPr>
          <w:rFonts w:hint="eastAsia" w:ascii="宋体" w:hAnsi="宋体" w:eastAsia="宋体" w:cs="宋体"/>
        </w:rPr>
        <w:t>报告开篇</w:t>
      </w:r>
      <w:bookmarkEnd w:id="36"/>
      <w:bookmarkEnd w:id="37"/>
      <w:bookmarkEnd w:id="38"/>
      <w:bookmarkEnd w:id="39"/>
      <w:bookmarkEnd w:id="40"/>
    </w:p>
    <w:p w14:paraId="1D2A9144">
      <w:pPr>
        <w:pStyle w:val="3"/>
        <w:rPr>
          <w:rFonts w:ascii="宋体" w:hAnsi="宋体" w:eastAsia="宋体" w:cs="宋体"/>
        </w:rPr>
      </w:pPr>
      <w:bookmarkStart w:id="41" w:name="_Toc13119"/>
      <w:bookmarkStart w:id="42" w:name="_Toc28165"/>
      <w:bookmarkStart w:id="43" w:name="_Toc30308"/>
      <w:bookmarkStart w:id="44" w:name="_Toc225235182"/>
      <w:bookmarkStart w:id="45" w:name="_Toc16766"/>
      <w:r>
        <w:rPr>
          <w:rFonts w:hint="eastAsia" w:ascii="宋体" w:hAnsi="宋体" w:eastAsia="宋体" w:cs="宋体"/>
        </w:rPr>
        <w:t>关于</w:t>
      </w:r>
      <w:bookmarkEnd w:id="41"/>
      <w:bookmarkEnd w:id="42"/>
      <w:bookmarkEnd w:id="43"/>
      <w:bookmarkEnd w:id="44"/>
      <w:r>
        <w:rPr>
          <w:rFonts w:hint="eastAsia" w:ascii="宋体" w:hAnsi="宋体" w:eastAsia="宋体" w:cs="宋体"/>
        </w:rPr>
        <w:t>乌海银行</w:t>
      </w:r>
      <w:bookmarkEnd w:id="45"/>
    </w:p>
    <w:p w14:paraId="6D78A158">
      <w:pPr>
        <w:ind w:firstLine="560"/>
        <w:rPr>
          <w:rFonts w:ascii="宋体" w:hAnsi="宋体" w:eastAsia="宋体" w:cs="宋体"/>
        </w:rPr>
      </w:pPr>
      <w:r>
        <w:rPr>
          <w:rFonts w:eastAsia="宋体" w:cs="Times New Roman"/>
        </w:rPr>
        <w:t>乌海银行前身为乌海市商业银行，成立于2006年9月，是内蒙古自治区第三家地方性股份制商业银行，于2010年1月更为现名。作为内蒙古西部地区唯一一家地方法人银行机构，乌海银行始终扎根区域经济，以党建为引领，持续深化改革与转型发展，全力推动高质</w:t>
      </w:r>
      <w:r>
        <w:rPr>
          <w:rFonts w:hint="eastAsia" w:ascii="宋体" w:hAnsi="宋体" w:eastAsia="宋体" w:cs="宋体"/>
        </w:rPr>
        <w:t>量发展，积极践行金融“五篇大文章”。我行成立以来先后荣获“内蒙古自治区五一劳动奖状”“内蒙古自治区金融优质服务奖”“内蒙古自治区金融支持民营企业贡献奖”、内蒙古自治区“推进小企业贷款工作先进单位”、内蒙古自治区“</w:t>
      </w:r>
      <w:r>
        <w:rPr>
          <w:rFonts w:eastAsia="宋体" w:cs="Times New Roman"/>
        </w:rPr>
        <w:t>A</w:t>
      </w:r>
      <w:r>
        <w:rPr>
          <w:rFonts w:hint="eastAsia" w:ascii="宋体" w:hAnsi="宋体" w:eastAsia="宋体" w:cs="宋体"/>
        </w:rPr>
        <w:t>级信用纳税人”等荣誉称号。</w:t>
      </w:r>
    </w:p>
    <w:p w14:paraId="7E25734B">
      <w:pPr>
        <w:ind w:firstLine="560"/>
        <w:rPr>
          <w:rFonts w:eastAsia="宋体" w:cs="Times New Roman"/>
        </w:rPr>
      </w:pPr>
      <w:r>
        <w:rPr>
          <w:rFonts w:eastAsia="宋体" w:cs="Times New Roman"/>
        </w:rPr>
        <w:t>目前，乌海银行总行内设15个部室，下辖1家异地分行（鄂尔多斯分行）、35家支行（包括2家异地支行：阿拉善支行、巴彦淖尔市乌拉特前旗支行）及1家营业部，服务网点覆盖乌海市、鄂尔多斯市、巴彦淖尔市和阿拉善盟4个盟市。全行共有员工526人，并发起设立两家村镇银行，分别位于广东省始兴县及鄂尔多斯市杭锦旗。</w:t>
      </w:r>
    </w:p>
    <w:p w14:paraId="402B1878">
      <w:pPr>
        <w:ind w:firstLine="560"/>
        <w:rPr>
          <w:rFonts w:eastAsia="宋体" w:cs="Times New Roman"/>
        </w:rPr>
      </w:pPr>
      <w:r>
        <w:rPr>
          <w:rFonts w:eastAsia="宋体" w:cs="Times New Roman"/>
        </w:rPr>
        <w:t>2025年，乌海银行坚持以党建引领发展方向，以战略驱动强化</w:t>
      </w:r>
      <w:r>
        <w:rPr>
          <w:rFonts w:hint="eastAsia" w:ascii="宋体" w:hAnsi="宋体" w:eastAsia="宋体" w:cs="宋体"/>
        </w:rPr>
        <w:t>执行效能，秉持稳中求进工作总基调，聚焦主责主业，深化使命担当，存款增量有势、贷款投放有力、利润增长有速、息差管理有度，经营管理迈上新台阶。</w:t>
      </w:r>
      <w:commentRangeStart w:id="0"/>
      <w:r>
        <w:rPr>
          <w:rFonts w:eastAsia="宋体" w:cs="Times New Roman"/>
        </w:rPr>
        <w:t>截至2025年末，全行各项存款余额达374.57亿元，较年初增长15.63%；各项贷款余额223.92亿元，同比增长31.36%，增量与增速均创历史新高。截至2025年12月末，我行绿色贷款1.84亿元，投资绿色金融债3.3亿元。</w:t>
      </w:r>
      <w:commentRangeEnd w:id="0"/>
      <w:r>
        <w:rPr>
          <w:rStyle w:val="47"/>
          <w:rFonts w:eastAsia="宋体" w:cs="Times New Roman"/>
          <w:sz w:val="28"/>
          <w:szCs w:val="22"/>
        </w:rPr>
        <w:commentReference w:id="0"/>
      </w:r>
    </w:p>
    <w:p w14:paraId="5F59FCB7">
      <w:pPr>
        <w:pStyle w:val="3"/>
        <w:rPr>
          <w:rFonts w:ascii="宋体" w:hAnsi="宋体" w:eastAsia="宋体" w:cs="宋体"/>
        </w:rPr>
      </w:pPr>
      <w:bookmarkStart w:id="46" w:name="_Toc16033"/>
      <w:bookmarkStart w:id="47" w:name="_Toc9104"/>
      <w:bookmarkStart w:id="48" w:name="_Toc8926"/>
      <w:bookmarkStart w:id="49" w:name="_Toc3801"/>
      <w:bookmarkStart w:id="50" w:name="_Toc225235183"/>
      <w:r>
        <w:rPr>
          <w:rFonts w:hint="eastAsia" w:ascii="宋体" w:hAnsi="宋体" w:eastAsia="宋体" w:cs="宋体"/>
        </w:rPr>
        <w:t>自然相关工作方法论</w:t>
      </w:r>
      <w:bookmarkEnd w:id="46"/>
      <w:bookmarkEnd w:id="47"/>
      <w:bookmarkEnd w:id="48"/>
      <w:bookmarkEnd w:id="49"/>
      <w:bookmarkEnd w:id="50"/>
    </w:p>
    <w:p w14:paraId="1488D5A3">
      <w:pPr>
        <w:ind w:firstLine="560"/>
        <w:rPr>
          <w:rFonts w:ascii="宋体" w:hAnsi="宋体" w:eastAsia="宋体" w:cs="宋体"/>
        </w:rPr>
      </w:pPr>
      <w:r>
        <w:rPr>
          <w:rFonts w:hint="eastAsia" w:ascii="宋体" w:hAnsi="宋体" w:eastAsia="宋体" w:cs="宋体"/>
        </w:rPr>
        <w:t>依托</w:t>
      </w:r>
      <w:r>
        <w:rPr>
          <w:rFonts w:eastAsia="宋体" w:cs="Times New Roman"/>
        </w:rPr>
        <w:t>TNFD</w:t>
      </w:r>
      <w:r>
        <w:rPr>
          <w:rFonts w:hint="eastAsia" w:ascii="宋体" w:hAnsi="宋体" w:eastAsia="宋体" w:cs="宋体"/>
        </w:rPr>
        <w:t>框架下的</w:t>
      </w:r>
      <w:r>
        <w:rPr>
          <w:rFonts w:eastAsia="宋体" w:cs="Times New Roman"/>
        </w:rPr>
        <w:t>LEAP</w:t>
      </w:r>
      <w:r>
        <w:rPr>
          <w:rFonts w:hint="eastAsia" w:ascii="宋体" w:hAnsi="宋体" w:eastAsia="宋体" w:cs="宋体"/>
        </w:rPr>
        <w:t>方法论，我行有序推进自然相关议题的分析与管理。首先，结合我行商业模式与价值链定位了与自然相关的关键连接点，再对我行自然相关依赖与影响开展了评价分析，并据此评估我行自然相关风险与机遇的管理优先级排序，最后在准备阶段形成了自然相关管理战略与目标，并通过本报告披露信息。通过以上流程，我行深入审视自然相关重点议题与管理水平，积极履行金融机构服务美丽中国建设的责任，为实现我国“双碳”目标贡献地方性金融机构力量。</w:t>
      </w:r>
    </w:p>
    <w:p w14:paraId="2B030074">
      <w:pPr>
        <w:ind w:firstLine="0" w:firstLineChars="0"/>
        <w:jc w:val="center"/>
        <w:rPr>
          <w:rFonts w:ascii="宋体" w:hAnsi="宋体" w:eastAsia="宋体" w:cs="宋体"/>
          <w:b/>
          <w:bCs/>
          <w:sz w:val="24"/>
          <w:szCs w:val="21"/>
        </w:rPr>
      </w:pPr>
      <w:r>
        <w:rPr>
          <w:rFonts w:hint="eastAsia" w:eastAsia="宋体" w:cs="Times New Roman"/>
          <w:b/>
          <w:bCs/>
          <w:sz w:val="24"/>
          <w:szCs w:val="21"/>
        </w:rPr>
        <w:t>表</w:t>
      </w:r>
      <w:r>
        <w:rPr>
          <w:rFonts w:eastAsia="宋体" w:cs="Times New Roman"/>
          <w:b/>
          <w:bCs/>
          <w:sz w:val="24"/>
          <w:szCs w:val="21"/>
        </w:rPr>
        <w:t>1</w:t>
      </w:r>
      <w:r>
        <w:rPr>
          <w:rFonts w:hint="eastAsia" w:eastAsia="宋体" w:cs="Times New Roman"/>
          <w:b/>
          <w:bCs/>
          <w:sz w:val="24"/>
          <w:szCs w:val="21"/>
        </w:rPr>
        <w:t xml:space="preserve">. </w:t>
      </w:r>
      <w:r>
        <w:rPr>
          <w:rFonts w:eastAsia="宋体" w:cs="Times New Roman"/>
          <w:b/>
          <w:bCs/>
          <w:sz w:val="24"/>
          <w:szCs w:val="21"/>
        </w:rPr>
        <w:t>TNFD</w:t>
      </w:r>
      <w:r>
        <w:rPr>
          <w:rFonts w:hint="eastAsia" w:ascii="宋体" w:hAnsi="宋体" w:eastAsia="宋体" w:cs="宋体"/>
          <w:b/>
          <w:bCs/>
          <w:sz w:val="24"/>
          <w:szCs w:val="21"/>
        </w:rPr>
        <w:t xml:space="preserve"> </w:t>
      </w:r>
      <w:r>
        <w:rPr>
          <w:rFonts w:eastAsia="宋体" w:cs="Times New Roman"/>
          <w:b/>
          <w:bCs/>
          <w:sz w:val="24"/>
          <w:szCs w:val="21"/>
        </w:rPr>
        <w:t>LEAP</w:t>
      </w:r>
      <w:r>
        <w:rPr>
          <w:rFonts w:hint="eastAsia" w:ascii="宋体" w:hAnsi="宋体" w:eastAsia="宋体" w:cs="宋体"/>
          <w:b/>
          <w:bCs/>
          <w:sz w:val="24"/>
          <w:szCs w:val="21"/>
        </w:rPr>
        <w:t>方法论步骤</w:t>
      </w:r>
    </w:p>
    <w:tbl>
      <w:tblPr>
        <w:tblStyle w:val="105"/>
        <w:tblW w:w="4999" w:type="pct"/>
        <w:jc w:val="cente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autofit"/>
        <w:tblCellMar>
          <w:top w:w="0" w:type="dxa"/>
          <w:left w:w="108" w:type="dxa"/>
          <w:bottom w:w="0" w:type="dxa"/>
          <w:right w:w="108" w:type="dxa"/>
        </w:tblCellMar>
      </w:tblPr>
      <w:tblGrid>
        <w:gridCol w:w="2577"/>
        <w:gridCol w:w="5943"/>
      </w:tblGrid>
      <w:tr w14:paraId="6908AB49">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blHeader/>
          <w:jc w:val="center"/>
        </w:trPr>
        <w:tc>
          <w:tcPr>
            <w:tcW w:w="1512" w:type="pct"/>
            <w:tcBorders>
              <w:top w:val="single" w:color="70AD47" w:sz="12" w:space="0"/>
              <w:left w:val="nil"/>
              <w:bottom w:val="single" w:color="70AD47" w:sz="4" w:space="0"/>
              <w:right w:val="nil"/>
              <w:insideV w:val="nil"/>
              <w:tl2br w:val="nil"/>
            </w:tcBorders>
            <w:shd w:val="clear" w:color="auto" w:fill="AAD18D"/>
            <w:vAlign w:val="center"/>
          </w:tcPr>
          <w:p w14:paraId="185621A3">
            <w:pPr>
              <w:keepNext/>
              <w:spacing w:before="190" w:beforeLines="50" w:after="190" w:afterLines="50" w:line="240" w:lineRule="auto"/>
              <w:ind w:firstLine="0" w:firstLineChars="0"/>
              <w:jc w:val="center"/>
              <w:rPr>
                <w:rFonts w:ascii="宋体" w:hAnsi="宋体" w:eastAsia="宋体" w:cs="宋体"/>
                <w:b w:val="0"/>
                <w:bCs w:val="0"/>
                <w:color w:val="000000"/>
                <w:sz w:val="24"/>
                <w:szCs w:val="21"/>
              </w:rPr>
            </w:pPr>
            <w:r>
              <w:rPr>
                <w:rFonts w:hint="eastAsia" w:ascii="宋体" w:hAnsi="宋体" w:eastAsia="宋体" w:cs="宋体"/>
                <w:b/>
                <w:bCs/>
                <w:color w:val="000000"/>
                <w:sz w:val="24"/>
                <w:szCs w:val="21"/>
              </w:rPr>
              <w:t>阶段</w:t>
            </w:r>
          </w:p>
        </w:tc>
        <w:tc>
          <w:tcPr>
            <w:tcW w:w="3487" w:type="pct"/>
            <w:tcBorders>
              <w:top w:val="single" w:color="70AD47" w:sz="12" w:space="0"/>
              <w:bottom w:val="single" w:color="70AD47" w:sz="4" w:space="0"/>
              <w:right w:val="nil"/>
              <w:insideV w:val="nil"/>
            </w:tcBorders>
            <w:shd w:val="clear" w:color="auto" w:fill="AAD18D"/>
            <w:vAlign w:val="center"/>
          </w:tcPr>
          <w:p w14:paraId="12F5F184">
            <w:pPr>
              <w:keepNext/>
              <w:spacing w:line="240" w:lineRule="auto"/>
              <w:ind w:firstLine="0" w:firstLineChars="0"/>
              <w:jc w:val="center"/>
              <w:rPr>
                <w:rFonts w:ascii="宋体" w:hAnsi="宋体" w:eastAsia="宋体" w:cs="宋体"/>
                <w:b w:val="0"/>
                <w:bCs w:val="0"/>
                <w:color w:val="000000"/>
                <w:sz w:val="24"/>
                <w:szCs w:val="21"/>
              </w:rPr>
            </w:pPr>
            <w:r>
              <w:rPr>
                <w:rFonts w:hint="eastAsia" w:ascii="宋体" w:hAnsi="宋体" w:eastAsia="宋体" w:cs="宋体"/>
                <w:b/>
                <w:bCs/>
                <w:color w:val="000000"/>
                <w:sz w:val="24"/>
                <w:szCs w:val="21"/>
              </w:rPr>
              <w:t>步骤</w:t>
            </w:r>
          </w:p>
        </w:tc>
      </w:tr>
      <w:tr w14:paraId="64BDD48E">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1985" w:hRule="atLeast"/>
          <w:jc w:val="center"/>
        </w:trPr>
        <w:tc>
          <w:tcPr>
            <w:tcW w:w="1512" w:type="pct"/>
            <w:tcBorders>
              <w:top w:val="single" w:color="70AD47" w:sz="4" w:space="0"/>
              <w:left w:val="nil"/>
              <w:bottom w:val="nil"/>
              <w:right w:val="nil"/>
            </w:tcBorders>
            <w:shd w:val="clear" w:color="auto" w:fill="AAD18D"/>
            <w:vAlign w:val="center"/>
          </w:tcPr>
          <w:p w14:paraId="61F45EA0">
            <w:pPr>
              <w:spacing w:before="190" w:beforeLines="50" w:after="190" w:afterLines="50" w:line="240" w:lineRule="auto"/>
              <w:ind w:firstLine="0" w:firstLineChars="0"/>
              <w:rPr>
                <w:rFonts w:ascii="宋体" w:hAnsi="宋体" w:eastAsia="宋体" w:cs="宋体"/>
                <w:b w:val="0"/>
                <w:bCs/>
                <w:color w:val="000000"/>
                <w:sz w:val="24"/>
                <w:szCs w:val="21"/>
              </w:rPr>
            </w:pPr>
            <w:r>
              <w:rPr>
                <w:rFonts w:eastAsia="宋体" w:cs="Times New Roman"/>
                <w:b/>
                <w:bCs/>
                <w:color w:val="000000"/>
                <w:sz w:val="24"/>
                <w:szCs w:val="21"/>
              </w:rPr>
              <w:t>1</w:t>
            </w:r>
            <w:r>
              <w:rPr>
                <w:rFonts w:hint="eastAsia" w:ascii="宋体" w:hAnsi="宋体" w:eastAsia="宋体" w:cs="宋体"/>
                <w:b/>
                <w:bCs/>
                <w:color w:val="000000"/>
                <w:sz w:val="24"/>
                <w:szCs w:val="21"/>
              </w:rPr>
              <w:t>. 定位（</w:t>
            </w:r>
            <w:r>
              <w:rPr>
                <w:rFonts w:eastAsia="宋体" w:cs="Times New Roman"/>
                <w:b/>
                <w:bCs/>
                <w:color w:val="000000"/>
                <w:sz w:val="24"/>
                <w:szCs w:val="21"/>
              </w:rPr>
              <w:t>Locate</w:t>
            </w:r>
            <w:r>
              <w:rPr>
                <w:rFonts w:hint="eastAsia" w:ascii="宋体" w:hAnsi="宋体" w:eastAsia="宋体" w:cs="宋体"/>
                <w:b/>
                <w:bCs/>
                <w:color w:val="000000"/>
                <w:sz w:val="24"/>
                <w:szCs w:val="21"/>
              </w:rPr>
              <w:t xml:space="preserve">） </w:t>
            </w:r>
          </w:p>
          <w:p w14:paraId="3910298A">
            <w:pPr>
              <w:spacing w:before="190" w:beforeLines="50" w:after="190" w:afterLines="50" w:line="240" w:lineRule="auto"/>
              <w:ind w:firstLine="0" w:firstLineChars="0"/>
              <w:rPr>
                <w:rFonts w:ascii="宋体" w:hAnsi="宋体" w:eastAsia="宋体" w:cs="宋体"/>
                <w:b w:val="0"/>
                <w:bCs w:val="0"/>
                <w:color w:val="000000"/>
                <w:sz w:val="24"/>
                <w:szCs w:val="21"/>
              </w:rPr>
            </w:pPr>
            <w:r>
              <w:rPr>
                <w:rFonts w:hint="eastAsia" w:ascii="宋体" w:hAnsi="宋体" w:eastAsia="宋体" w:cs="宋体"/>
                <w:b/>
                <w:bCs/>
                <w:color w:val="000000"/>
                <w:sz w:val="24"/>
                <w:szCs w:val="21"/>
              </w:rPr>
              <w:t>与自然的连接接口</w:t>
            </w:r>
          </w:p>
        </w:tc>
        <w:tc>
          <w:tcPr>
            <w:tcW w:w="3487" w:type="pct"/>
            <w:tcBorders>
              <w:top w:val="single" w:color="70AD47" w:sz="4" w:space="0"/>
              <w:left w:val="nil"/>
              <w:bottom w:val="nil"/>
              <w:right w:val="nil"/>
            </w:tcBorders>
            <w:shd w:val="clear" w:color="auto" w:fill="EFF7EA"/>
            <w:vAlign w:val="center"/>
          </w:tcPr>
          <w:p w14:paraId="76F60397">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L1</w:t>
            </w:r>
            <w:r>
              <w:rPr>
                <w:rFonts w:hint="eastAsia" w:ascii="宋体" w:hAnsi="宋体" w:eastAsia="宋体" w:cs="宋体"/>
                <w:color w:val="000000"/>
                <w:sz w:val="24"/>
                <w:szCs w:val="21"/>
              </w:rPr>
              <w:t xml:space="preserve"> 商业模式和价值链的跨度</w:t>
            </w:r>
          </w:p>
          <w:p w14:paraId="155D8393">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L2</w:t>
            </w:r>
            <w:r>
              <w:rPr>
                <w:rFonts w:hint="eastAsia" w:ascii="宋体" w:hAnsi="宋体" w:eastAsia="宋体" w:cs="宋体"/>
                <w:color w:val="000000"/>
                <w:sz w:val="24"/>
                <w:szCs w:val="21"/>
              </w:rPr>
              <w:t xml:space="preserve"> 依赖和影响筛选</w:t>
            </w:r>
          </w:p>
          <w:p w14:paraId="0E971E73">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L3</w:t>
            </w:r>
            <w:r>
              <w:rPr>
                <w:rFonts w:hint="eastAsia" w:ascii="宋体" w:hAnsi="宋体" w:eastAsia="宋体" w:cs="宋体"/>
                <w:color w:val="000000"/>
                <w:sz w:val="24"/>
                <w:szCs w:val="21"/>
              </w:rPr>
              <w:t xml:space="preserve"> 与自然的连接接口</w:t>
            </w:r>
          </w:p>
          <w:p w14:paraId="41CE8758">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L4</w:t>
            </w:r>
            <w:r>
              <w:rPr>
                <w:rFonts w:hint="eastAsia" w:ascii="宋体" w:hAnsi="宋体" w:eastAsia="宋体" w:cs="宋体"/>
                <w:color w:val="000000"/>
                <w:sz w:val="24"/>
                <w:szCs w:val="21"/>
              </w:rPr>
              <w:t xml:space="preserve"> 与敏感地点的连接接口</w:t>
            </w:r>
          </w:p>
        </w:tc>
      </w:tr>
      <w:tr w14:paraId="26E3D8ED">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2387" w:hRule="atLeast"/>
          <w:jc w:val="center"/>
        </w:trPr>
        <w:tc>
          <w:tcPr>
            <w:tcW w:w="1512" w:type="pct"/>
            <w:tcBorders>
              <w:top w:val="nil"/>
              <w:left w:val="nil"/>
              <w:bottom w:val="nil"/>
              <w:right w:val="nil"/>
            </w:tcBorders>
            <w:shd w:val="clear" w:color="auto" w:fill="AAD18D"/>
            <w:vAlign w:val="center"/>
          </w:tcPr>
          <w:p w14:paraId="30F671F6">
            <w:pPr>
              <w:spacing w:before="190" w:beforeLines="50" w:after="190" w:afterLines="50" w:line="240" w:lineRule="auto"/>
              <w:ind w:firstLine="0" w:firstLineChars="0"/>
              <w:rPr>
                <w:rFonts w:ascii="宋体" w:hAnsi="宋体" w:eastAsia="宋体" w:cs="宋体"/>
                <w:b w:val="0"/>
                <w:bCs/>
                <w:color w:val="000000"/>
                <w:sz w:val="24"/>
                <w:szCs w:val="21"/>
              </w:rPr>
            </w:pPr>
            <w:r>
              <w:rPr>
                <w:rFonts w:eastAsia="宋体" w:cs="Times New Roman"/>
                <w:b/>
                <w:bCs/>
                <w:color w:val="000000"/>
                <w:sz w:val="24"/>
                <w:szCs w:val="21"/>
              </w:rPr>
              <w:t>2</w:t>
            </w:r>
            <w:r>
              <w:rPr>
                <w:rFonts w:hint="eastAsia" w:ascii="宋体" w:hAnsi="宋体" w:eastAsia="宋体" w:cs="宋体"/>
                <w:b/>
                <w:bCs/>
                <w:color w:val="000000"/>
                <w:sz w:val="24"/>
                <w:szCs w:val="21"/>
              </w:rPr>
              <w:t>. 评价（</w:t>
            </w:r>
            <w:r>
              <w:rPr>
                <w:rFonts w:eastAsia="宋体" w:cs="Times New Roman"/>
                <w:b/>
                <w:bCs/>
                <w:color w:val="000000"/>
                <w:sz w:val="24"/>
                <w:szCs w:val="21"/>
              </w:rPr>
              <w:t>Evaluate</w:t>
            </w:r>
            <w:r>
              <w:rPr>
                <w:rFonts w:hint="eastAsia" w:ascii="宋体" w:hAnsi="宋体" w:eastAsia="宋体" w:cs="宋体"/>
                <w:b/>
                <w:bCs/>
                <w:color w:val="000000"/>
                <w:sz w:val="24"/>
                <w:szCs w:val="21"/>
              </w:rPr>
              <w:t>）</w:t>
            </w:r>
          </w:p>
          <w:p w14:paraId="721FB294">
            <w:pPr>
              <w:spacing w:before="190" w:beforeLines="50" w:after="190" w:afterLines="50" w:line="240" w:lineRule="auto"/>
              <w:ind w:firstLine="0" w:firstLineChars="0"/>
              <w:rPr>
                <w:rFonts w:ascii="宋体" w:hAnsi="宋体" w:eastAsia="宋体" w:cs="宋体"/>
                <w:b w:val="0"/>
                <w:bCs w:val="0"/>
                <w:color w:val="000000"/>
                <w:sz w:val="24"/>
                <w:szCs w:val="21"/>
              </w:rPr>
            </w:pPr>
            <w:r>
              <w:rPr>
                <w:rFonts w:hint="eastAsia" w:ascii="宋体" w:hAnsi="宋体" w:eastAsia="宋体" w:cs="宋体"/>
                <w:b/>
                <w:bCs/>
                <w:color w:val="000000"/>
                <w:sz w:val="24"/>
                <w:szCs w:val="21"/>
              </w:rPr>
              <w:t>依赖和影响</w:t>
            </w:r>
          </w:p>
        </w:tc>
        <w:tc>
          <w:tcPr>
            <w:tcW w:w="3487" w:type="pct"/>
            <w:tcBorders>
              <w:top w:val="nil"/>
              <w:left w:val="nil"/>
              <w:bottom w:val="nil"/>
              <w:right w:val="nil"/>
            </w:tcBorders>
            <w:shd w:val="clear" w:color="auto" w:fill="FFFFFF"/>
            <w:vAlign w:val="center"/>
          </w:tcPr>
          <w:p w14:paraId="53C0FB03">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E1</w:t>
            </w:r>
            <w:r>
              <w:rPr>
                <w:rFonts w:hint="eastAsia" w:ascii="宋体" w:hAnsi="宋体" w:eastAsia="宋体" w:cs="宋体"/>
                <w:color w:val="000000"/>
                <w:sz w:val="24"/>
                <w:szCs w:val="21"/>
              </w:rPr>
              <w:t xml:space="preserve"> 环境资产、生态系统服务和影响驱动因子的识别</w:t>
            </w:r>
          </w:p>
          <w:p w14:paraId="5DBF2BC2">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E2</w:t>
            </w:r>
            <w:r>
              <w:rPr>
                <w:rFonts w:hint="eastAsia" w:ascii="宋体" w:hAnsi="宋体" w:eastAsia="宋体" w:cs="宋体"/>
                <w:color w:val="000000"/>
                <w:sz w:val="24"/>
                <w:szCs w:val="21"/>
              </w:rPr>
              <w:t xml:space="preserve"> 依赖和影响的识别</w:t>
            </w:r>
          </w:p>
          <w:p w14:paraId="0992C2A7">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E3</w:t>
            </w:r>
            <w:r>
              <w:rPr>
                <w:rFonts w:hint="eastAsia" w:ascii="宋体" w:hAnsi="宋体" w:eastAsia="宋体" w:cs="宋体"/>
                <w:color w:val="000000"/>
                <w:sz w:val="24"/>
                <w:szCs w:val="21"/>
              </w:rPr>
              <w:t xml:space="preserve"> 依赖和影响的衡量</w:t>
            </w:r>
          </w:p>
          <w:p w14:paraId="59F2662E">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E4</w:t>
            </w:r>
            <w:r>
              <w:rPr>
                <w:rFonts w:hint="eastAsia" w:ascii="宋体" w:hAnsi="宋体" w:eastAsia="宋体" w:cs="宋体"/>
                <w:color w:val="000000"/>
                <w:sz w:val="24"/>
                <w:szCs w:val="21"/>
              </w:rPr>
              <w:t xml:space="preserve"> 影响重要性评估</w:t>
            </w:r>
          </w:p>
        </w:tc>
      </w:tr>
      <w:tr w14:paraId="4F00A7C5">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2124" w:hRule="atLeast"/>
          <w:jc w:val="center"/>
        </w:trPr>
        <w:tc>
          <w:tcPr>
            <w:tcW w:w="1512" w:type="pct"/>
            <w:tcBorders>
              <w:top w:val="nil"/>
              <w:left w:val="nil"/>
              <w:bottom w:val="nil"/>
              <w:right w:val="nil"/>
            </w:tcBorders>
            <w:shd w:val="clear" w:color="auto" w:fill="AAD18D"/>
            <w:vAlign w:val="center"/>
          </w:tcPr>
          <w:p w14:paraId="00CCDB25">
            <w:pPr>
              <w:spacing w:before="190" w:beforeLines="50" w:after="190" w:afterLines="50" w:line="240" w:lineRule="auto"/>
              <w:ind w:firstLine="0" w:firstLineChars="0"/>
              <w:rPr>
                <w:rFonts w:ascii="宋体" w:hAnsi="宋体" w:eastAsia="宋体" w:cs="宋体"/>
                <w:b w:val="0"/>
                <w:bCs/>
                <w:color w:val="000000"/>
                <w:sz w:val="24"/>
                <w:szCs w:val="21"/>
              </w:rPr>
            </w:pPr>
            <w:r>
              <w:rPr>
                <w:rFonts w:eastAsia="宋体" w:cs="Times New Roman"/>
                <w:b/>
                <w:bCs/>
                <w:color w:val="000000"/>
                <w:sz w:val="24"/>
                <w:szCs w:val="21"/>
              </w:rPr>
              <w:t>3</w:t>
            </w:r>
            <w:r>
              <w:rPr>
                <w:rFonts w:hint="eastAsia" w:ascii="宋体" w:hAnsi="宋体" w:eastAsia="宋体" w:cs="宋体"/>
                <w:b/>
                <w:bCs/>
                <w:color w:val="000000"/>
                <w:sz w:val="24"/>
                <w:szCs w:val="21"/>
              </w:rPr>
              <w:t>. 评估（</w:t>
            </w:r>
            <w:r>
              <w:rPr>
                <w:rFonts w:eastAsia="宋体" w:cs="Times New Roman"/>
                <w:b/>
                <w:bCs/>
                <w:color w:val="000000"/>
                <w:sz w:val="24"/>
                <w:szCs w:val="21"/>
              </w:rPr>
              <w:t>Assess</w:t>
            </w:r>
            <w:r>
              <w:rPr>
                <w:rFonts w:hint="eastAsia" w:ascii="宋体" w:hAnsi="宋体" w:eastAsia="宋体" w:cs="宋体"/>
                <w:b/>
                <w:bCs/>
                <w:color w:val="000000"/>
                <w:sz w:val="24"/>
                <w:szCs w:val="21"/>
              </w:rPr>
              <w:t xml:space="preserve">） </w:t>
            </w:r>
          </w:p>
          <w:p w14:paraId="345AF5DA">
            <w:pPr>
              <w:spacing w:before="190" w:beforeLines="50" w:after="190" w:afterLines="50" w:line="240" w:lineRule="auto"/>
              <w:ind w:firstLine="0" w:firstLineChars="0"/>
              <w:rPr>
                <w:rFonts w:ascii="宋体" w:hAnsi="宋体" w:eastAsia="宋体" w:cs="宋体"/>
                <w:b w:val="0"/>
                <w:bCs w:val="0"/>
                <w:color w:val="000000"/>
                <w:sz w:val="24"/>
                <w:szCs w:val="21"/>
              </w:rPr>
            </w:pPr>
            <w:r>
              <w:rPr>
                <w:rFonts w:hint="eastAsia" w:ascii="宋体" w:hAnsi="宋体" w:eastAsia="宋体" w:cs="宋体"/>
                <w:b/>
                <w:bCs/>
                <w:color w:val="000000"/>
                <w:sz w:val="24"/>
                <w:szCs w:val="21"/>
              </w:rPr>
              <w:t>风险与机遇</w:t>
            </w:r>
          </w:p>
        </w:tc>
        <w:tc>
          <w:tcPr>
            <w:tcW w:w="3487" w:type="pct"/>
            <w:tcBorders>
              <w:top w:val="nil"/>
              <w:left w:val="nil"/>
              <w:bottom w:val="nil"/>
              <w:right w:val="nil"/>
            </w:tcBorders>
            <w:shd w:val="clear" w:color="auto" w:fill="EFF7EA"/>
            <w:vAlign w:val="center"/>
          </w:tcPr>
          <w:p w14:paraId="53B7A701">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A1</w:t>
            </w:r>
            <w:r>
              <w:rPr>
                <w:rFonts w:hint="eastAsia" w:ascii="宋体" w:hAnsi="宋体" w:eastAsia="宋体" w:cs="宋体"/>
                <w:color w:val="000000"/>
                <w:sz w:val="24"/>
                <w:szCs w:val="21"/>
              </w:rPr>
              <w:t xml:space="preserve"> 风险与机遇的识别</w:t>
            </w:r>
          </w:p>
          <w:p w14:paraId="60FAA438">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A2</w:t>
            </w:r>
            <w:r>
              <w:rPr>
                <w:rFonts w:hint="eastAsia" w:ascii="宋体" w:hAnsi="宋体" w:eastAsia="宋体" w:cs="宋体"/>
                <w:color w:val="000000"/>
                <w:sz w:val="24"/>
                <w:szCs w:val="21"/>
              </w:rPr>
              <w:t xml:space="preserve"> 调整现有的风险缓解以及风险与机遇管理</w:t>
            </w:r>
          </w:p>
          <w:p w14:paraId="026D50B4">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A3</w:t>
            </w:r>
            <w:r>
              <w:rPr>
                <w:rFonts w:hint="eastAsia" w:ascii="宋体" w:hAnsi="宋体" w:eastAsia="宋体" w:cs="宋体"/>
                <w:color w:val="000000"/>
                <w:sz w:val="24"/>
                <w:szCs w:val="21"/>
              </w:rPr>
              <w:t xml:space="preserve"> 风险与机遇的衡量和优先排序</w:t>
            </w:r>
          </w:p>
          <w:p w14:paraId="412B980B">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A4</w:t>
            </w:r>
            <w:r>
              <w:rPr>
                <w:rFonts w:hint="eastAsia" w:ascii="宋体" w:hAnsi="宋体" w:eastAsia="宋体" w:cs="宋体"/>
                <w:color w:val="000000"/>
                <w:sz w:val="24"/>
                <w:szCs w:val="21"/>
              </w:rPr>
              <w:t xml:space="preserve"> 风险与机遇重要性评估</w:t>
            </w:r>
          </w:p>
        </w:tc>
      </w:tr>
      <w:tr w14:paraId="7F1F11FA">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1843" w:hRule="atLeast"/>
          <w:jc w:val="center"/>
        </w:trPr>
        <w:tc>
          <w:tcPr>
            <w:tcW w:w="1512" w:type="pct"/>
            <w:tcBorders>
              <w:top w:val="nil"/>
              <w:left w:val="nil"/>
              <w:bottom w:val="single" w:color="70AD47" w:sz="12" w:space="0"/>
              <w:right w:val="nil"/>
            </w:tcBorders>
            <w:shd w:val="clear" w:color="auto" w:fill="AAD18D"/>
            <w:vAlign w:val="center"/>
          </w:tcPr>
          <w:p w14:paraId="783A0E72">
            <w:pPr>
              <w:spacing w:before="190" w:beforeLines="50" w:after="190" w:afterLines="50" w:line="240" w:lineRule="auto"/>
              <w:ind w:firstLine="0" w:firstLineChars="0"/>
              <w:rPr>
                <w:rFonts w:ascii="宋体" w:hAnsi="宋体" w:eastAsia="宋体" w:cs="宋体"/>
                <w:b w:val="0"/>
                <w:bCs/>
                <w:color w:val="000000"/>
                <w:sz w:val="24"/>
                <w:szCs w:val="21"/>
              </w:rPr>
            </w:pPr>
            <w:r>
              <w:rPr>
                <w:rFonts w:eastAsia="宋体" w:cs="Times New Roman"/>
                <w:b/>
                <w:bCs/>
                <w:color w:val="000000"/>
                <w:sz w:val="24"/>
                <w:szCs w:val="21"/>
              </w:rPr>
              <w:t>4</w:t>
            </w:r>
            <w:r>
              <w:rPr>
                <w:rFonts w:hint="eastAsia" w:ascii="宋体" w:hAnsi="宋体" w:eastAsia="宋体" w:cs="宋体"/>
                <w:b/>
                <w:bCs/>
                <w:color w:val="000000"/>
                <w:sz w:val="24"/>
                <w:szCs w:val="21"/>
              </w:rPr>
              <w:t>. 准备（</w:t>
            </w:r>
            <w:r>
              <w:rPr>
                <w:rFonts w:eastAsia="宋体" w:cs="Times New Roman"/>
                <w:b/>
                <w:bCs/>
                <w:color w:val="000000"/>
                <w:sz w:val="24"/>
                <w:szCs w:val="21"/>
              </w:rPr>
              <w:t>Prepare</w:t>
            </w:r>
            <w:r>
              <w:rPr>
                <w:rFonts w:hint="eastAsia" w:ascii="宋体" w:hAnsi="宋体" w:eastAsia="宋体" w:cs="宋体"/>
                <w:b/>
                <w:bCs/>
                <w:color w:val="000000"/>
                <w:sz w:val="24"/>
                <w:szCs w:val="21"/>
              </w:rPr>
              <w:t>）</w:t>
            </w:r>
          </w:p>
          <w:p w14:paraId="652CB559">
            <w:pPr>
              <w:spacing w:before="190" w:beforeLines="50" w:after="190" w:afterLines="50" w:line="240" w:lineRule="auto"/>
              <w:ind w:firstLine="0" w:firstLineChars="0"/>
              <w:rPr>
                <w:rFonts w:ascii="宋体" w:hAnsi="宋体" w:eastAsia="宋体" w:cs="宋体"/>
                <w:b w:val="0"/>
                <w:bCs w:val="0"/>
                <w:color w:val="000000"/>
                <w:sz w:val="24"/>
                <w:szCs w:val="21"/>
              </w:rPr>
            </w:pPr>
            <w:r>
              <w:rPr>
                <w:rFonts w:hint="eastAsia" w:ascii="宋体" w:hAnsi="宋体" w:eastAsia="宋体" w:cs="宋体"/>
                <w:b/>
                <w:bCs/>
                <w:color w:val="000000"/>
                <w:sz w:val="24"/>
                <w:szCs w:val="21"/>
              </w:rPr>
              <w:t>响应和报告</w:t>
            </w:r>
          </w:p>
        </w:tc>
        <w:tc>
          <w:tcPr>
            <w:tcW w:w="3487" w:type="pct"/>
            <w:tcBorders>
              <w:top w:val="nil"/>
              <w:left w:val="nil"/>
              <w:bottom w:val="single" w:color="70AD47" w:sz="12" w:space="0"/>
              <w:right w:val="nil"/>
            </w:tcBorders>
            <w:shd w:val="clear" w:color="auto" w:fill="FFFFFF"/>
            <w:vAlign w:val="center"/>
          </w:tcPr>
          <w:p w14:paraId="6E66EB19">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P1</w:t>
            </w:r>
            <w:r>
              <w:rPr>
                <w:rFonts w:hint="eastAsia" w:ascii="宋体" w:hAnsi="宋体" w:eastAsia="宋体" w:cs="宋体"/>
                <w:color w:val="000000"/>
                <w:sz w:val="24"/>
                <w:szCs w:val="21"/>
              </w:rPr>
              <w:t xml:space="preserve"> 战略和资源配置计划</w:t>
            </w:r>
          </w:p>
          <w:p w14:paraId="323E2416">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P2</w:t>
            </w:r>
            <w:r>
              <w:rPr>
                <w:rFonts w:hint="eastAsia" w:ascii="宋体" w:hAnsi="宋体" w:eastAsia="宋体" w:cs="宋体"/>
                <w:color w:val="000000"/>
                <w:sz w:val="24"/>
                <w:szCs w:val="21"/>
              </w:rPr>
              <w:t xml:space="preserve"> 目标设定和绩效管理</w:t>
            </w:r>
          </w:p>
          <w:p w14:paraId="3B2E4AEA">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P3</w:t>
            </w:r>
            <w:r>
              <w:rPr>
                <w:rFonts w:hint="eastAsia" w:ascii="宋体" w:hAnsi="宋体" w:eastAsia="宋体" w:cs="宋体"/>
                <w:color w:val="000000"/>
                <w:sz w:val="24"/>
                <w:szCs w:val="21"/>
              </w:rPr>
              <w:t xml:space="preserve"> 报告</w:t>
            </w:r>
          </w:p>
          <w:p w14:paraId="67A6C1E1">
            <w:pPr>
              <w:spacing w:line="240" w:lineRule="auto"/>
              <w:ind w:firstLine="0" w:firstLineChars="0"/>
              <w:rPr>
                <w:rFonts w:ascii="宋体" w:hAnsi="宋体" w:eastAsia="宋体" w:cs="宋体"/>
                <w:color w:val="000000"/>
                <w:sz w:val="24"/>
                <w:szCs w:val="21"/>
              </w:rPr>
            </w:pPr>
            <w:r>
              <w:rPr>
                <w:rFonts w:eastAsia="宋体" w:cs="Times New Roman"/>
                <w:color w:val="000000"/>
                <w:sz w:val="24"/>
                <w:szCs w:val="21"/>
              </w:rPr>
              <w:t>P4</w:t>
            </w:r>
            <w:r>
              <w:rPr>
                <w:rFonts w:hint="eastAsia" w:ascii="宋体" w:hAnsi="宋体" w:eastAsia="宋体" w:cs="宋体"/>
                <w:color w:val="000000"/>
                <w:sz w:val="24"/>
                <w:szCs w:val="21"/>
              </w:rPr>
              <w:t xml:space="preserve"> 展示</w:t>
            </w:r>
          </w:p>
        </w:tc>
      </w:tr>
    </w:tbl>
    <w:p w14:paraId="768FD46A">
      <w:pPr>
        <w:pStyle w:val="13"/>
        <w:ind w:firstLine="562"/>
        <w:rPr>
          <w:rFonts w:ascii="宋体" w:hAnsi="宋体" w:eastAsia="宋体" w:cs="宋体"/>
          <w:b/>
          <w:bCs/>
        </w:rPr>
      </w:pPr>
    </w:p>
    <w:p w14:paraId="7768436F">
      <w:pPr>
        <w:pStyle w:val="3"/>
        <w:rPr>
          <w:rFonts w:ascii="宋体" w:hAnsi="宋体" w:eastAsia="宋体" w:cs="宋体"/>
        </w:rPr>
      </w:pPr>
      <w:bookmarkStart w:id="51" w:name="_Toc10680"/>
      <w:bookmarkStart w:id="52" w:name="_Toc32117"/>
      <w:bookmarkStart w:id="53" w:name="_Toc225235184"/>
      <w:bookmarkStart w:id="54" w:name="_Toc7412"/>
      <w:bookmarkStart w:id="55" w:name="_Toc12568"/>
      <w:r>
        <w:rPr>
          <w:rFonts w:hint="eastAsia" w:ascii="宋体" w:hAnsi="宋体" w:eastAsia="宋体" w:cs="宋体"/>
        </w:rPr>
        <w:t>乌海银行与自然的关系</w:t>
      </w:r>
      <w:bookmarkEnd w:id="51"/>
      <w:bookmarkEnd w:id="52"/>
      <w:bookmarkEnd w:id="53"/>
      <w:bookmarkEnd w:id="54"/>
      <w:bookmarkEnd w:id="55"/>
    </w:p>
    <w:p w14:paraId="011FD8C0">
      <w:pPr>
        <w:ind w:firstLine="560"/>
        <w:rPr>
          <w:rFonts w:ascii="宋体" w:hAnsi="宋体" w:eastAsia="宋体" w:cs="宋体"/>
        </w:rPr>
      </w:pPr>
      <w:r>
        <w:rPr>
          <w:rFonts w:hint="eastAsia" w:ascii="宋体" w:hAnsi="宋体" w:eastAsia="宋体" w:cs="宋体"/>
        </w:rPr>
        <w:t>在生态系统压力持续加大、资源环境约束日益趋紧的背景下，可持续发展已成为金融机构必须重点关注的重要方向，自然环境与金融业务之间的相互依赖和影响日益加深。本行立足内蒙古西部地区，扎根乌海、服务区域，所处区域兼具黄河流域生态保护、资源型城市绿色转型和传统产业结构调整等多重特征，客户经营活动与能源资源利用、水资源配置、土地利用、工业固废处置、污染防治及生态修复等自然相关议题密切相关。为顺应国家“双碳”目标、生态文明建设及自治区绿色低碳转型要求，本行持续完善绿色金融服务体系，引导金融资源向清洁能源、节能环保、资源循环利用、绿色交通、生态修复等领域集聚，支持区域经济绿色低碳转型。同时，在自身运营中持续强化节能降耗、资源节约和绿色办公管理，逐步提升支持生态保护、资源高效利用和可持续发展的能力与水平。</w:t>
      </w:r>
    </w:p>
    <w:p w14:paraId="4B60DA10">
      <w:pPr>
        <w:numPr>
          <w:ilvl w:val="0"/>
          <w:numId w:val="4"/>
        </w:numPr>
        <w:ind w:firstLineChars="0"/>
        <w:rPr>
          <w:rFonts w:ascii="宋体" w:hAnsi="宋体" w:eastAsia="宋体" w:cs="宋体"/>
          <w:b/>
          <w:bCs/>
        </w:rPr>
      </w:pPr>
      <w:r>
        <w:rPr>
          <w:rFonts w:hint="eastAsia" w:ascii="宋体" w:hAnsi="宋体" w:eastAsia="宋体" w:cs="宋体"/>
          <w:b/>
          <w:bCs/>
        </w:rPr>
        <w:t>自然依赖与区域生态基础</w:t>
      </w:r>
    </w:p>
    <w:p w14:paraId="3E63CF84">
      <w:pPr>
        <w:pStyle w:val="39"/>
        <w:ind w:firstLine="560" w:firstLineChars="200"/>
        <w:rPr>
          <w:rFonts w:ascii="宋体" w:hAnsi="宋体" w:cs="宋体"/>
          <w:sz w:val="28"/>
        </w:rPr>
      </w:pPr>
      <w:r>
        <w:rPr>
          <w:rFonts w:hint="eastAsia" w:ascii="宋体" w:hAnsi="宋体" w:cs="宋体"/>
          <w:sz w:val="28"/>
        </w:rPr>
        <w:t>本行主要运营区域位于内蒙古西部，业务范围覆盖乌海市，并延伸至鄂尔多斯市、巴彦淖尔市和阿拉善盟等区域。区域经济发展与黄河流域水资源管理、土地利用、矿产资源开发、生态屏障建设、荒漠化治理及环境承载能力密切相关。乌海地区煤炭、化工、电力、制造、物流等产业基础较为突出，相关客户在生产经营过程中对能源、水资源、土地空间及环境容量具有一定依赖。自然资源供给变化、生态治理要求提升及极端天气等因素，可能影响企业生产、项目建设、资产价值和偿债能力，并进一步传导至本行信贷资产质量和业务可持续性。</w:t>
      </w:r>
    </w:p>
    <w:p w14:paraId="0F3C69F8">
      <w:pPr>
        <w:numPr>
          <w:ilvl w:val="0"/>
          <w:numId w:val="4"/>
        </w:numPr>
        <w:ind w:firstLineChars="0"/>
        <w:rPr>
          <w:rFonts w:ascii="宋体" w:hAnsi="宋体" w:eastAsia="宋体" w:cs="宋体"/>
          <w:b/>
          <w:bCs/>
        </w:rPr>
      </w:pPr>
      <w:r>
        <w:rPr>
          <w:rFonts w:hint="eastAsia" w:ascii="宋体" w:hAnsi="宋体" w:eastAsia="宋体" w:cs="宋体"/>
          <w:b/>
          <w:bCs/>
        </w:rPr>
        <w:t>自然相关政策与战略响应</w:t>
      </w:r>
    </w:p>
    <w:p w14:paraId="1E15C7F1">
      <w:pPr>
        <w:pStyle w:val="39"/>
        <w:ind w:firstLine="560" w:firstLineChars="200"/>
        <w:rPr>
          <w:rFonts w:ascii="宋体" w:hAnsi="宋体" w:cs="宋体"/>
          <w:sz w:val="28"/>
        </w:rPr>
      </w:pPr>
      <w:r>
        <w:rPr>
          <w:rFonts w:hint="eastAsia" w:ascii="宋体" w:hAnsi="宋体" w:cs="宋体"/>
          <w:sz w:val="28"/>
        </w:rPr>
        <w:t>在国家“双碳”目标、生态文明建设和金融“五篇大文章”战略部署持续推进的背景下，自然相关政策对金融机构资源配置、风险管理和业务转型提出了更明确的要求。本行围绕自治区“科技兴蒙、生态优先、绿色转型”战略主线，结合《内蒙古自治区绿色金融发展规划</w:t>
      </w:r>
      <w:r>
        <w:rPr>
          <w:rFonts w:cs="Times New Roman"/>
          <w:sz w:val="28"/>
        </w:rPr>
        <w:t>（2023—2025年）》</w:t>
      </w:r>
      <w:r>
        <w:rPr>
          <w:rFonts w:hint="eastAsia" w:ascii="宋体" w:hAnsi="宋体" w:cs="宋体"/>
          <w:sz w:val="28"/>
        </w:rPr>
        <w:t>和乌海地区实际，持续完善绿色金融服务体系，引导金融资源向绿色低碳领域集聚，助力资源节约型、环境友好型社会建设。</w:t>
      </w:r>
    </w:p>
    <w:p w14:paraId="0F9580A1">
      <w:pPr>
        <w:numPr>
          <w:ilvl w:val="0"/>
          <w:numId w:val="4"/>
        </w:numPr>
        <w:ind w:firstLineChars="0"/>
        <w:rPr>
          <w:rFonts w:ascii="宋体" w:hAnsi="宋体" w:eastAsia="宋体" w:cs="宋体"/>
          <w:b/>
          <w:bCs/>
        </w:rPr>
      </w:pPr>
      <w:r>
        <w:rPr>
          <w:rFonts w:hint="eastAsia" w:ascii="宋体" w:hAnsi="宋体" w:eastAsia="宋体" w:cs="宋体"/>
          <w:b/>
          <w:bCs/>
        </w:rPr>
        <w:t>投融资活动对自然的影响</w:t>
      </w:r>
    </w:p>
    <w:p w14:paraId="1F7CBB8D">
      <w:pPr>
        <w:pStyle w:val="39"/>
        <w:ind w:firstLine="560" w:firstLineChars="200"/>
        <w:rPr>
          <w:rFonts w:ascii="宋体" w:hAnsi="宋体" w:cs="宋体"/>
          <w:sz w:val="28"/>
        </w:rPr>
      </w:pPr>
      <w:r>
        <w:rPr>
          <w:rFonts w:hint="eastAsia" w:ascii="宋体" w:hAnsi="宋体" w:cs="宋体"/>
          <w:sz w:val="28"/>
        </w:rPr>
        <w:t>本行通过信贷投放和金融服务参与区域经济运行，资金配置方向会对自然环境产生间接影响。若金融资源流向清洁能源、节能环保、污染防治、工业固废综合利用、污水处理及中水回用、垃圾资源化利用、绿色交通和生态修复等领域，将有助于提升资源利用效率，减少污染物排放，改善区域生态环境质量。相反，若资金流向资源消耗强度较高、污染治理能力不足或环保合规水平较弱的领域，则可能加重生态环境压力，并带来环境、气候、合规和信用风险。因此，投融资结构是本行影响自然的重要路径。</w:t>
      </w:r>
    </w:p>
    <w:p w14:paraId="36EF5745">
      <w:pPr>
        <w:numPr>
          <w:ilvl w:val="0"/>
          <w:numId w:val="4"/>
        </w:numPr>
        <w:ind w:firstLineChars="0"/>
        <w:rPr>
          <w:rFonts w:ascii="宋体" w:hAnsi="宋体" w:eastAsia="宋体" w:cs="宋体"/>
          <w:b/>
          <w:bCs/>
        </w:rPr>
      </w:pPr>
      <w:r>
        <w:rPr>
          <w:rFonts w:hint="eastAsia" w:ascii="宋体" w:hAnsi="宋体" w:eastAsia="宋体" w:cs="宋体"/>
          <w:b/>
          <w:bCs/>
        </w:rPr>
        <w:t>自然相关风险与管理机制</w:t>
      </w:r>
    </w:p>
    <w:p w14:paraId="09309924">
      <w:pPr>
        <w:pStyle w:val="39"/>
        <w:ind w:firstLine="560" w:firstLineChars="200"/>
        <w:rPr>
          <w:rFonts w:ascii="宋体" w:hAnsi="宋体" w:cs="宋体"/>
        </w:rPr>
      </w:pPr>
      <w:r>
        <w:rPr>
          <w:rFonts w:hint="eastAsia" w:ascii="宋体" w:hAnsi="宋体" w:cs="宋体"/>
          <w:sz w:val="28"/>
        </w:rPr>
        <w:t>自然相关风险主要通过物理风险和转型风险影响本行。物理风险方面，强降雨、洪涝、干旱、沙尘、高温等因素可能扰动企业生产经营、物流运输、项目建设及抵质押物价值。转型风险方面，随着环保政策、产业政策和绿色金融政策持续推进，煤炭、化工、电力、建材等行业面临节能降碳、污染治理、清洁生产和技术改造压力。若客户转型滞后，可能出现成本上升、生产受限、盈利下降或合规风险，并通过现金流、偿债能力、资产价值和产业链稳定性传导至本行信贷资产质量。</w:t>
      </w:r>
    </w:p>
    <w:p w14:paraId="50D9D732">
      <w:pPr>
        <w:numPr>
          <w:ilvl w:val="0"/>
          <w:numId w:val="4"/>
        </w:numPr>
        <w:ind w:firstLineChars="0"/>
        <w:rPr>
          <w:rFonts w:ascii="宋体" w:hAnsi="宋体" w:eastAsia="宋体" w:cs="宋体"/>
          <w:b/>
          <w:bCs/>
        </w:rPr>
      </w:pPr>
      <w:r>
        <w:rPr>
          <w:rFonts w:hint="eastAsia" w:ascii="宋体" w:hAnsi="宋体" w:eastAsia="宋体" w:cs="宋体"/>
          <w:b/>
          <w:bCs/>
        </w:rPr>
        <w:t>运营活动对自然资源的使用</w:t>
      </w:r>
    </w:p>
    <w:p w14:paraId="49A8F0DF">
      <w:pPr>
        <w:pStyle w:val="39"/>
        <w:ind w:firstLine="560" w:firstLineChars="200"/>
        <w:rPr>
          <w:rFonts w:ascii="宋体" w:hAnsi="宋体" w:cs="宋体"/>
          <w:sz w:val="28"/>
        </w:rPr>
      </w:pPr>
      <w:r>
        <w:rPr>
          <w:rFonts w:hint="eastAsia" w:ascii="宋体" w:hAnsi="宋体" w:cs="宋体"/>
          <w:sz w:val="28"/>
        </w:rPr>
        <w:t>在自身运营层面，本行日常办公、营业网点运行、信息系统使用和客户服务活动，需要消耗电力、水资源、纸张、办公用品及电子设备等资源。虽然银行业自身并非高资源消耗行业，但运营活动仍与区域能源供给、水资源利用、办公耗材生产、电子设备制造及废弃物处理等自然资源链条存在直接或间接联系。其中，电力使用与区域能源结构和碳排放水平相关，水和纸张使用体现对水资源及林业资源的依赖，电子设备使用则涉及矿产资源、制造供应链及回收处理体系。</w:t>
      </w:r>
    </w:p>
    <w:p w14:paraId="75409CD6">
      <w:pPr>
        <w:pStyle w:val="2"/>
        <w:rPr>
          <w:rFonts w:ascii="宋体" w:hAnsi="宋体" w:eastAsia="宋体" w:cs="宋体"/>
        </w:rPr>
      </w:pPr>
      <w:bookmarkStart w:id="56" w:name="_Toc1370"/>
      <w:bookmarkStart w:id="57" w:name="_Toc14599"/>
      <w:bookmarkStart w:id="58" w:name="_Toc30580"/>
      <w:bookmarkStart w:id="59" w:name="_Toc11864"/>
      <w:bookmarkStart w:id="60" w:name="_Toc2437"/>
      <w:bookmarkStart w:id="61" w:name="_Toc28167"/>
      <w:bookmarkStart w:id="62" w:name="_Toc19732"/>
      <w:bookmarkStart w:id="63" w:name="_Toc16663"/>
      <w:bookmarkStart w:id="64" w:name="_Toc27558"/>
      <w:bookmarkStart w:id="65" w:name="_Toc11985"/>
      <w:bookmarkStart w:id="66" w:name="_Toc18402"/>
      <w:bookmarkStart w:id="67" w:name="_Toc22970"/>
      <w:bookmarkStart w:id="68" w:name="_Toc7926"/>
      <w:bookmarkStart w:id="69" w:name="_Toc29143"/>
      <w:bookmarkStart w:id="70" w:name="_Toc20851"/>
      <w:bookmarkStart w:id="71" w:name="_Toc11888"/>
      <w:bookmarkStart w:id="72" w:name="_Toc10540"/>
      <w:bookmarkStart w:id="73" w:name="_Toc4604"/>
      <w:bookmarkStart w:id="74" w:name="_Toc125"/>
      <w:bookmarkStart w:id="75" w:name="_Toc25910"/>
      <w:bookmarkStart w:id="76" w:name="_Toc176"/>
      <w:bookmarkStart w:id="77" w:name="_Toc30947"/>
      <w:bookmarkStart w:id="78" w:name="_Toc31927"/>
      <w:bookmarkStart w:id="79" w:name="_Toc18154"/>
      <w:bookmarkStart w:id="80" w:name="_Toc25285"/>
      <w:bookmarkStart w:id="81" w:name="_Toc24185"/>
      <w:bookmarkStart w:id="82" w:name="_Toc20932"/>
      <w:bookmarkStart w:id="83" w:name="_Toc3438"/>
      <w:bookmarkStart w:id="84" w:name="_Toc30227"/>
      <w:bookmarkStart w:id="85" w:name="_Toc17160"/>
      <w:bookmarkStart w:id="86" w:name="_Toc225235185"/>
      <w:bookmarkStart w:id="87" w:name="_Toc16699"/>
      <w:bookmarkStart w:id="88" w:name="_Toc30479"/>
      <w:bookmarkStart w:id="89" w:name="_Toc31603"/>
      <w:bookmarkStart w:id="90" w:name="_Toc15580"/>
      <w:bookmarkStart w:id="91" w:name="_Toc31818"/>
      <w:r>
        <w:rPr>
          <w:rFonts w:hint="eastAsia" w:ascii="宋体" w:hAnsi="宋体" w:eastAsia="宋体" w:cs="宋体"/>
        </w:rPr>
        <w:t>治理</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4ACDABE3">
      <w:pPr>
        <w:pStyle w:val="3"/>
        <w:rPr>
          <w:rFonts w:ascii="宋体" w:hAnsi="宋体" w:eastAsia="宋体" w:cs="宋体"/>
        </w:rPr>
      </w:pPr>
      <w:bookmarkStart w:id="92" w:name="_Toc11107"/>
      <w:bookmarkStart w:id="93" w:name="_Toc225235186"/>
      <w:bookmarkStart w:id="94" w:name="_Toc26224"/>
      <w:bookmarkStart w:id="95" w:name="_Toc24090"/>
      <w:bookmarkStart w:id="96" w:name="_Toc27382"/>
      <w:r>
        <w:rPr>
          <w:rFonts w:hint="eastAsia" w:ascii="宋体" w:hAnsi="宋体" w:eastAsia="宋体" w:cs="宋体"/>
        </w:rPr>
        <w:t>自然相关治理架构</w:t>
      </w:r>
      <w:bookmarkEnd w:id="92"/>
      <w:bookmarkEnd w:id="93"/>
      <w:bookmarkEnd w:id="94"/>
      <w:bookmarkEnd w:id="95"/>
      <w:bookmarkEnd w:id="96"/>
    </w:p>
    <w:p w14:paraId="30C2543E">
      <w:pPr>
        <w:ind w:firstLine="560"/>
        <w:rPr>
          <w:rFonts w:ascii="宋体" w:hAnsi="宋体" w:eastAsia="宋体" w:cs="宋体"/>
        </w:rPr>
      </w:pPr>
      <w:r>
        <w:rPr>
          <w:rFonts w:hint="eastAsia" w:ascii="宋体" w:hAnsi="宋体" w:eastAsia="宋体" w:cs="宋体"/>
        </w:rPr>
        <w:t>自然相关因素已逐步成为影响本行业务发展与风险管理的重要维度。本行依托既有公司治理体系，构建了覆盖决策、管理与执行各层级的自然相关治理架构，将自然环境因素嵌入战略决策、业务管理及日常运营中，形成职责清晰、分层负责、协同推进的治理机制，为自然相关风险管控与绿色金融发展提供制度保障。</w:t>
      </w:r>
    </w:p>
    <w:p w14:paraId="0EC731FE">
      <w:pPr>
        <w:pStyle w:val="13"/>
        <w:numPr>
          <w:ilvl w:val="0"/>
          <w:numId w:val="5"/>
        </w:numPr>
        <w:ind w:firstLineChars="0"/>
        <w:jc w:val="left"/>
        <w:rPr>
          <w:rFonts w:ascii="宋体" w:hAnsi="宋体" w:eastAsia="宋体" w:cs="宋体"/>
          <w:b/>
          <w:bCs/>
        </w:rPr>
      </w:pPr>
      <w:r>
        <w:rPr>
          <w:rFonts w:hint="eastAsia" w:ascii="宋体" w:hAnsi="宋体" w:eastAsia="宋体" w:cs="宋体"/>
          <w:b/>
          <w:bCs/>
        </w:rPr>
        <w:t>决策与监督层</w:t>
      </w:r>
    </w:p>
    <w:p w14:paraId="6075A0F7">
      <w:pPr>
        <w:pStyle w:val="13"/>
        <w:ind w:left="0" w:firstLine="560"/>
        <w:rPr>
          <w:rFonts w:ascii="宋体" w:hAnsi="宋体" w:eastAsia="宋体" w:cs="宋体"/>
        </w:rPr>
      </w:pPr>
      <w:r>
        <w:rPr>
          <w:rFonts w:hint="eastAsia" w:ascii="宋体" w:hAnsi="宋体" w:eastAsia="宋体" w:cs="宋体"/>
        </w:rPr>
        <w:t>在决策与监督层面，乌海银行依托董事会、监事会及董事会下设专门委员会，构建自然相关事项与绿色金融工作的顶层治理框架，并逐步将自然相关因素纳入战略规划与风险管理。董事会作为绿色金融战略引领机构，负责确定绿色信贷发展战略，审批绿色信贷目标和绿色信贷报告，并监督、评估绿色信贷发展战略执行情况；监事会依法履行监督职责，对董事会和高级管理层相关履职情况进行监督。</w:t>
      </w:r>
    </w:p>
    <w:p w14:paraId="5D0413B1">
      <w:pPr>
        <w:pStyle w:val="13"/>
        <w:ind w:left="0" w:firstLine="560"/>
        <w:rPr>
          <w:rFonts w:ascii="宋体" w:hAnsi="宋体" w:eastAsia="宋体" w:cs="宋体"/>
        </w:rPr>
      </w:pPr>
      <w:r>
        <w:rPr>
          <w:rFonts w:hint="eastAsia" w:ascii="宋体" w:hAnsi="宋体" w:eastAsia="宋体" w:cs="宋体"/>
        </w:rPr>
        <w:t>董事会下设战略发展委员会、关联交易与风险管理委员会、审计委员会等专门委员会，在战略规划、风险管理、审计监督等职责范围内，对涉及绿色金融、环境与社会风险、资源配置方向等事项开展审议和监督。该层级通过战略审议、风险把控和监督评价，将自然相关因素纳入全行治理视角，为绿色金融和自然相关风险管理提供决策基础。</w:t>
      </w:r>
    </w:p>
    <w:p w14:paraId="3A76763F">
      <w:pPr>
        <w:pStyle w:val="13"/>
        <w:numPr>
          <w:ilvl w:val="0"/>
          <w:numId w:val="5"/>
        </w:numPr>
        <w:ind w:firstLineChars="0"/>
        <w:jc w:val="left"/>
        <w:rPr>
          <w:rFonts w:ascii="宋体" w:hAnsi="宋体" w:eastAsia="宋体" w:cs="宋体"/>
          <w:b/>
          <w:bCs/>
        </w:rPr>
      </w:pPr>
      <w:r>
        <w:rPr>
          <w:rFonts w:hint="eastAsia" w:ascii="宋体" w:hAnsi="宋体" w:eastAsia="宋体" w:cs="宋体"/>
          <w:b/>
          <w:bCs/>
        </w:rPr>
        <w:t>管理层</w:t>
      </w:r>
    </w:p>
    <w:p w14:paraId="57CB1B77">
      <w:pPr>
        <w:pStyle w:val="13"/>
        <w:ind w:left="0" w:firstLine="560"/>
        <w:rPr>
          <w:rFonts w:ascii="宋体" w:hAnsi="宋体" w:eastAsia="宋体" w:cs="宋体"/>
        </w:rPr>
      </w:pPr>
      <w:r>
        <w:rPr>
          <w:rFonts w:hint="eastAsia" w:ascii="宋体" w:hAnsi="宋体" w:eastAsia="宋体" w:cs="宋体"/>
        </w:rPr>
        <w:t>在管理层层面，高级管理层根据董事会决策部署，负责绿色金融和自然相关管理工作的组织推进，包括制定绿色信贷目标，建立相关机制和流程，明确职责分工与权限边界，开展内控检查和考核评价，并按要求向董事会和监管机构报告绿色金融发展情况。</w:t>
      </w:r>
    </w:p>
    <w:p w14:paraId="1DFF29F0">
      <w:pPr>
        <w:pStyle w:val="13"/>
        <w:ind w:left="0" w:firstLine="560"/>
        <w:rPr>
          <w:rFonts w:ascii="宋体" w:hAnsi="宋体" w:eastAsia="宋体" w:cs="宋体"/>
        </w:rPr>
      </w:pPr>
      <w:r>
        <w:rPr>
          <w:rFonts w:hint="eastAsia" w:ascii="宋体" w:hAnsi="宋体" w:eastAsia="宋体" w:cs="宋体"/>
        </w:rPr>
        <w:t>为加强组织协调，乌海银行设立</w:t>
      </w:r>
      <w:r>
        <w:rPr>
          <w:rFonts w:hint="eastAsia" w:ascii="宋体" w:hAnsi="宋体" w:eastAsia="宋体" w:cs="宋体"/>
          <w:b/>
          <w:bCs/>
        </w:rPr>
        <w:t>绿色信贷工作领导小组</w:t>
      </w:r>
      <w:r>
        <w:rPr>
          <w:rFonts w:hint="eastAsia" w:ascii="宋体" w:hAnsi="宋体" w:eastAsia="宋体" w:cs="宋体"/>
        </w:rPr>
        <w:t>，分管信贷的行长为总牵头人，协调总行各部门执行绿色信贷战略，不断优化信贷结构。相关机制有助于将自然相关要求嵌入业务发展、风险识别、审批管理和数据报送等经营管理环节。</w:t>
      </w:r>
    </w:p>
    <w:p w14:paraId="56815586">
      <w:pPr>
        <w:pStyle w:val="13"/>
        <w:numPr>
          <w:ilvl w:val="0"/>
          <w:numId w:val="5"/>
        </w:numPr>
        <w:ind w:firstLineChars="0"/>
        <w:jc w:val="left"/>
        <w:rPr>
          <w:rFonts w:ascii="宋体" w:hAnsi="宋体" w:eastAsia="宋体" w:cs="宋体"/>
          <w:b/>
          <w:bCs/>
        </w:rPr>
      </w:pPr>
      <w:r>
        <w:rPr>
          <w:rFonts w:hint="eastAsia" w:ascii="宋体" w:hAnsi="宋体" w:eastAsia="宋体" w:cs="宋体"/>
          <w:b/>
          <w:bCs/>
        </w:rPr>
        <w:t>执行层</w:t>
      </w:r>
    </w:p>
    <w:p w14:paraId="54CE1C8A">
      <w:pPr>
        <w:pStyle w:val="13"/>
        <w:ind w:left="0" w:firstLine="560"/>
        <w:rPr>
          <w:rFonts w:ascii="宋体" w:hAnsi="宋体" w:eastAsia="宋体" w:cs="宋体"/>
        </w:rPr>
      </w:pPr>
      <w:r>
        <w:rPr>
          <w:rFonts w:hint="eastAsia" w:ascii="宋体" w:hAnsi="宋体" w:eastAsia="宋体" w:cs="宋体"/>
        </w:rPr>
        <w:t>在执行层面，本行依托各业务与管理部门及基层网点，具体落实自然相关治理要求，形成覆盖全辖的业务执行体系。</w:t>
      </w:r>
      <w:r>
        <w:rPr>
          <w:rFonts w:hint="eastAsia" w:ascii="宋体" w:hAnsi="宋体" w:eastAsia="宋体" w:cs="宋体"/>
          <w:b/>
          <w:bCs/>
        </w:rPr>
        <w:t>公司业务部为绿色信贷牵头管理部门</w:t>
      </w:r>
      <w:r>
        <w:rPr>
          <w:rFonts w:hint="eastAsia" w:ascii="宋体" w:hAnsi="宋体" w:eastAsia="宋体" w:cs="宋体"/>
        </w:rPr>
        <w:t>，组织开展并归口管理绿色信贷各项工作。风险管理、法律合规、计划财会、审计、金融科技、办公室及各分支机构等部门，根据职责分工分别承担风险识别、合规管理、统计报送、审计监督、系统支持和绿色运营等职责。</w:t>
      </w:r>
    </w:p>
    <w:p w14:paraId="41A27ECD">
      <w:pPr>
        <w:pStyle w:val="13"/>
        <w:ind w:left="0" w:firstLine="560"/>
        <w:rPr>
          <w:rFonts w:ascii="宋体" w:hAnsi="宋体" w:eastAsia="宋体" w:cs="宋体"/>
        </w:rPr>
      </w:pPr>
      <w:r>
        <w:rPr>
          <w:rFonts w:hint="eastAsia" w:ascii="宋体" w:hAnsi="宋体" w:eastAsia="宋体" w:cs="宋体"/>
        </w:rPr>
        <w:t>各分支机构是绿色金融和自然相关管理要求落地的前端主体。乌海银行形成“总行指导、部门协同、支行落实”的工作格局，辖内各支行设</w:t>
      </w:r>
      <w:r>
        <w:rPr>
          <w:rFonts w:hint="eastAsia" w:ascii="宋体" w:hAnsi="宋体" w:eastAsia="宋体" w:cs="宋体"/>
          <w:b/>
          <w:bCs/>
        </w:rPr>
        <w:t>绿色金融业务岗</w:t>
      </w:r>
      <w:r>
        <w:rPr>
          <w:rFonts w:hint="eastAsia" w:ascii="宋体" w:hAnsi="宋体" w:eastAsia="宋体" w:cs="宋体"/>
        </w:rPr>
        <w:t>，承办绿色贷款业务，实现组织体系全覆盖、推进工作全联动。通过上述安排，自然相关治理要求能够从董事会战略决策传导至管理层统筹协调，并进一步落实到客户营销、授信审批、风险管理、贷后监测和运营管理等具体环节。</w:t>
      </w:r>
    </w:p>
    <w:p w14:paraId="55F27F86">
      <w:pPr>
        <w:ind w:firstLine="0" w:firstLineChars="0"/>
        <w:rPr>
          <w:rFonts w:ascii="宋体" w:hAnsi="宋体" w:eastAsia="宋体" w:cs="宋体"/>
        </w:rPr>
      </w:pPr>
      <w:r>
        <w:drawing>
          <wp:inline distT="0" distB="0" distL="114300" distR="114300">
            <wp:extent cx="5267325" cy="3668395"/>
            <wp:effectExtent l="0" t="0" r="5715" b="4445"/>
            <wp:docPr id="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
                    <pic:cNvPicPr>
                      <a:picLocks noChangeAspect="1"/>
                    </pic:cNvPicPr>
                  </pic:nvPicPr>
                  <pic:blipFill>
                    <a:blip r:embed="rId26"/>
                    <a:stretch>
                      <a:fillRect/>
                    </a:stretch>
                  </pic:blipFill>
                  <pic:spPr>
                    <a:xfrm>
                      <a:off x="0" y="0"/>
                      <a:ext cx="5267325" cy="3668395"/>
                    </a:xfrm>
                    <a:prstGeom prst="rect">
                      <a:avLst/>
                    </a:prstGeom>
                    <a:noFill/>
                    <a:ln>
                      <a:noFill/>
                    </a:ln>
                  </pic:spPr>
                </pic:pic>
              </a:graphicData>
            </a:graphic>
          </wp:inline>
        </w:drawing>
      </w:r>
    </w:p>
    <w:p w14:paraId="26CB3855">
      <w:pPr>
        <w:pStyle w:val="14"/>
        <w:spacing w:before="190" w:beforeLines="50"/>
        <w:rPr>
          <w:rFonts w:ascii="宋体" w:hAnsi="宋体" w:eastAsia="宋体" w:cs="宋体"/>
        </w:rPr>
      </w:pPr>
      <w:r>
        <w:rPr>
          <w:rFonts w:hint="eastAsia" w:ascii="宋体" w:hAnsi="宋体" w:eastAsia="宋体" w:cs="宋体"/>
        </w:rPr>
        <w:t>图</w:t>
      </w:r>
      <w:r>
        <w:rPr>
          <w:rFonts w:eastAsia="宋体" w:cs="Times New Roman"/>
        </w:rPr>
        <w:t>1</w:t>
      </w:r>
      <w:r>
        <w:rPr>
          <w:rFonts w:hint="eastAsia" w:ascii="宋体" w:hAnsi="宋体" w:eastAsia="宋体" w:cs="宋体"/>
        </w:rPr>
        <w:t>.乌海银行自然相关治理架构</w:t>
      </w:r>
    </w:p>
    <w:p w14:paraId="5D3CD577">
      <w:pPr>
        <w:pStyle w:val="3"/>
        <w:rPr>
          <w:rFonts w:ascii="宋体" w:hAnsi="宋体" w:eastAsia="宋体" w:cs="宋体"/>
        </w:rPr>
      </w:pPr>
      <w:bookmarkStart w:id="97" w:name="_Toc19584"/>
      <w:bookmarkStart w:id="98" w:name="_Toc225235187"/>
      <w:bookmarkStart w:id="99" w:name="_Toc10336"/>
      <w:bookmarkStart w:id="100" w:name="_Toc18090"/>
      <w:bookmarkStart w:id="101" w:name="_Toc23402"/>
      <w:r>
        <w:rPr>
          <w:rFonts w:hint="eastAsia" w:ascii="宋体" w:hAnsi="宋体" w:eastAsia="宋体" w:cs="宋体"/>
        </w:rPr>
        <w:t>利益相关方参与</w:t>
      </w:r>
      <w:bookmarkEnd w:id="97"/>
      <w:bookmarkEnd w:id="98"/>
      <w:bookmarkEnd w:id="99"/>
      <w:bookmarkEnd w:id="100"/>
      <w:bookmarkEnd w:id="101"/>
    </w:p>
    <w:p w14:paraId="09C494B3">
      <w:pPr>
        <w:ind w:firstLine="560"/>
        <w:rPr>
          <w:rFonts w:ascii="宋体" w:hAnsi="宋体" w:eastAsia="宋体" w:cs="宋体"/>
        </w:rPr>
      </w:pPr>
      <w:r>
        <w:rPr>
          <w:rFonts w:hint="eastAsia" w:ascii="宋体" w:hAnsi="宋体" w:eastAsia="宋体" w:cs="宋体"/>
        </w:rPr>
        <w:t>本行围绕自然相关议题，结合乌海地区资源型城市绿色转型特征及自身业务结构，识别政府机构及监管部门、股东、客户、员工及管理层、社区及社会公众五类核心利益相关方。各类利益相关方对自然资源利用、生态环境保护、生物多样性维护、环境与社会风险管理及区域可持续发展等方面的关注重点有所不同。本行通过政策落实、治理汇报、客户沟通、员工培训、绿色金融宣传及信息报送等方式，持续加强与利益相关方的互动，将自然相关议题逐步融入经营决策、信贷投向、风险管理和日常运营之中。</w:t>
      </w:r>
    </w:p>
    <w:p w14:paraId="0F806E31">
      <w:pPr>
        <w:pStyle w:val="14"/>
        <w:keepNext/>
        <w:rPr>
          <w:rFonts w:ascii="宋体" w:hAnsi="宋体" w:eastAsia="宋体" w:cs="宋体"/>
        </w:rPr>
      </w:pPr>
      <w:r>
        <w:rPr>
          <w:rFonts w:hint="eastAsia" w:ascii="宋体" w:hAnsi="宋体" w:eastAsia="宋体" w:cs="宋体"/>
        </w:rPr>
        <w:t>表</w:t>
      </w:r>
      <w:r>
        <w:rPr>
          <w:rFonts w:eastAsia="宋体" w:cs="Times New Roman"/>
        </w:rPr>
        <w:t>2</w:t>
      </w:r>
      <w:r>
        <w:rPr>
          <w:rFonts w:hint="eastAsia" w:ascii="宋体" w:hAnsi="宋体" w:eastAsia="宋体" w:cs="宋体"/>
        </w:rPr>
        <w:t>.乌海银行自然相关利益相关方参与</w:t>
      </w:r>
    </w:p>
    <w:tbl>
      <w:tblPr>
        <w:tblStyle w:val="71"/>
        <w:tblW w:w="4998"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67"/>
        <w:gridCol w:w="2466"/>
        <w:gridCol w:w="4386"/>
      </w:tblGrid>
      <w:tr w14:paraId="4A5CB8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blHeader/>
          <w:jc w:val="center"/>
        </w:trPr>
        <w:tc>
          <w:tcPr>
            <w:tcW w:w="978" w:type="pct"/>
            <w:tcBorders>
              <w:top w:val="single" w:color="5B9BD5" w:themeColor="accent1" w:sz="4" w:space="0"/>
              <w:left w:val="single" w:color="5B9BD5" w:themeColor="accent1" w:sz="4" w:space="0"/>
              <w:bottom w:val="single" w:color="5B9BD5" w:themeColor="accent1" w:sz="4" w:space="0"/>
              <w:right w:val="nil"/>
              <w:insideH w:val="single" w:sz="4" w:space="0"/>
              <w:insideV w:val="nil"/>
              <w:tl2br w:val="nil"/>
              <w:tr2bl w:val="nil"/>
            </w:tcBorders>
            <w:shd w:val="clear" w:color="auto" w:fill="44546A" w:themeFill="text2"/>
            <w:vAlign w:val="center"/>
          </w:tcPr>
          <w:p w14:paraId="4D1010DD">
            <w:pPr>
              <w:spacing w:line="240" w:lineRule="auto"/>
              <w:ind w:firstLine="0" w:firstLineChars="0"/>
              <w:jc w:val="center"/>
              <w:rPr>
                <w:rFonts w:ascii="宋体" w:hAnsi="宋体" w:eastAsia="宋体" w:cs="宋体"/>
                <w:b w:val="0"/>
                <w:bCs w:val="0"/>
                <w:color w:val="FFFFFF" w:themeColor="background1"/>
                <w:sz w:val="24"/>
                <w:szCs w:val="24"/>
                <w14:textFill>
                  <w14:solidFill>
                    <w14:schemeClr w14:val="bg1"/>
                  </w14:solidFill>
                </w14:textFill>
              </w:rPr>
            </w:pPr>
            <w:r>
              <w:rPr>
                <w:rFonts w:hint="eastAsia" w:ascii="宋体" w:hAnsi="宋体" w:eastAsia="宋体" w:cs="宋体"/>
                <w:b/>
                <w:bCs/>
                <w:color w:val="FFFFFF" w:themeColor="background1"/>
                <w:sz w:val="24"/>
                <w:szCs w:val="24"/>
                <w14:textFill>
                  <w14:solidFill>
                    <w14:schemeClr w14:val="bg1"/>
                  </w14:solidFill>
                </w14:textFill>
              </w:rPr>
              <w:t>利益相关方</w:t>
            </w:r>
          </w:p>
        </w:tc>
        <w:tc>
          <w:tcPr>
            <w:tcW w:w="1447" w:type="pct"/>
            <w:tcBorders>
              <w:top w:val="single" w:color="5B9BD5" w:themeColor="accent1" w:sz="4" w:space="0"/>
              <w:bottom w:val="single" w:color="5B9BD5" w:themeColor="accent1" w:sz="4" w:space="0"/>
              <w:right w:val="nil"/>
              <w:insideH w:val="single" w:sz="4" w:space="0"/>
              <w:insideV w:val="nil"/>
              <w:tl2br w:val="nil"/>
              <w:tr2bl w:val="nil"/>
            </w:tcBorders>
            <w:shd w:val="clear" w:color="auto" w:fill="44546A" w:themeFill="text2"/>
            <w:vAlign w:val="center"/>
          </w:tcPr>
          <w:p w14:paraId="126E0002">
            <w:pPr>
              <w:spacing w:line="240" w:lineRule="auto"/>
              <w:ind w:firstLine="0" w:firstLineChars="0"/>
              <w:jc w:val="center"/>
              <w:rPr>
                <w:rFonts w:ascii="宋体" w:hAnsi="宋体" w:eastAsia="宋体" w:cs="宋体"/>
                <w:b w:val="0"/>
                <w:bCs w:val="0"/>
                <w:color w:val="FFFFFF" w:themeColor="background1"/>
                <w:sz w:val="24"/>
                <w:szCs w:val="24"/>
                <w14:textFill>
                  <w14:solidFill>
                    <w14:schemeClr w14:val="bg1"/>
                  </w14:solidFill>
                </w14:textFill>
              </w:rPr>
            </w:pPr>
            <w:r>
              <w:rPr>
                <w:rFonts w:hint="eastAsia" w:ascii="宋体" w:hAnsi="宋体" w:eastAsia="宋体" w:cs="宋体"/>
                <w:b/>
                <w:bCs/>
                <w:color w:val="FFFFFF" w:themeColor="background1"/>
                <w:sz w:val="24"/>
                <w:szCs w:val="24"/>
                <w14:textFill>
                  <w14:solidFill>
                    <w14:schemeClr w14:val="bg1"/>
                  </w14:solidFill>
                </w14:textFill>
              </w:rPr>
              <w:t>主要关注</w:t>
            </w:r>
          </w:p>
        </w:tc>
        <w:tc>
          <w:tcPr>
            <w:tcW w:w="2573" w:type="pct"/>
            <w:tcBorders>
              <w:top w:val="single" w:color="5B9BD5" w:themeColor="accent1" w:sz="4" w:space="0"/>
              <w:bottom w:val="single" w:color="5B9BD5" w:themeColor="accent1" w:sz="4" w:space="0"/>
              <w:right w:val="single" w:color="5B9BD5" w:themeColor="accent1" w:sz="4" w:space="0"/>
              <w:insideH w:val="single" w:sz="4" w:space="0"/>
              <w:insideV w:val="nil"/>
              <w:tl2br w:val="nil"/>
              <w:tr2bl w:val="nil"/>
            </w:tcBorders>
            <w:shd w:val="clear" w:color="auto" w:fill="44546A" w:themeFill="text2"/>
            <w:vAlign w:val="center"/>
          </w:tcPr>
          <w:p w14:paraId="7C63CE91">
            <w:pPr>
              <w:spacing w:line="240" w:lineRule="auto"/>
              <w:ind w:firstLine="0" w:firstLineChars="0"/>
              <w:jc w:val="center"/>
              <w:rPr>
                <w:rFonts w:ascii="宋体" w:hAnsi="宋体" w:eastAsia="宋体" w:cs="宋体"/>
                <w:b w:val="0"/>
                <w:bCs w:val="0"/>
                <w:color w:val="FFFFFF" w:themeColor="background1"/>
                <w:sz w:val="24"/>
                <w:szCs w:val="24"/>
                <w14:textFill>
                  <w14:solidFill>
                    <w14:schemeClr w14:val="bg1"/>
                  </w14:solidFill>
                </w14:textFill>
              </w:rPr>
            </w:pPr>
            <w:r>
              <w:rPr>
                <w:rFonts w:hint="eastAsia" w:ascii="宋体" w:hAnsi="宋体" w:eastAsia="宋体" w:cs="宋体"/>
                <w:b/>
                <w:bCs/>
                <w:color w:val="FFFFFF" w:themeColor="background1"/>
                <w:sz w:val="24"/>
                <w:szCs w:val="24"/>
                <w14:textFill>
                  <w14:solidFill>
                    <w14:schemeClr w14:val="bg1"/>
                  </w14:solidFill>
                </w14:textFill>
              </w:rPr>
              <w:t>行动与回应</w:t>
            </w:r>
          </w:p>
        </w:tc>
      </w:tr>
      <w:tr w14:paraId="5EA085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3" w:hRule="atLeast"/>
          <w:jc w:val="center"/>
        </w:trPr>
        <w:tc>
          <w:tcPr>
            <w:tcW w:w="978" w:type="pct"/>
            <w:tcBorders>
              <w:tl2br w:val="nil"/>
              <w:tr2bl w:val="nil"/>
            </w:tcBorders>
            <w:vAlign w:val="center"/>
          </w:tcPr>
          <w:p w14:paraId="2673E099">
            <w:pPr>
              <w:spacing w:line="240" w:lineRule="auto"/>
              <w:ind w:firstLine="0" w:firstLineChars="0"/>
              <w:jc w:val="center"/>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政府机构及监管部门</w:t>
            </w:r>
          </w:p>
        </w:tc>
        <w:tc>
          <w:tcPr>
            <w:tcW w:w="1447" w:type="pct"/>
            <w:tcBorders>
              <w:tl2br w:val="nil"/>
              <w:tr2bl w:val="nil"/>
            </w:tcBorders>
            <w:vAlign w:val="center"/>
          </w:tcPr>
          <w:p w14:paraId="437B7539">
            <w:pPr>
              <w:pStyle w:val="13"/>
              <w:spacing w:line="240" w:lineRule="auto"/>
              <w:ind w:left="0"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生态文明建设</w:t>
            </w:r>
          </w:p>
          <w:p w14:paraId="338F50F7">
            <w:pPr>
              <w:pStyle w:val="13"/>
              <w:spacing w:line="240" w:lineRule="auto"/>
              <w:ind w:left="0"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生态保护</w:t>
            </w:r>
          </w:p>
          <w:p w14:paraId="273E7E01">
            <w:pPr>
              <w:pStyle w:val="13"/>
              <w:spacing w:line="240" w:lineRule="auto"/>
              <w:ind w:left="0"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自然相关风险管理</w:t>
            </w:r>
          </w:p>
          <w:p w14:paraId="7EEB0F3E">
            <w:pPr>
              <w:pStyle w:val="13"/>
              <w:spacing w:line="240" w:lineRule="auto"/>
              <w:ind w:left="0"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绿色金融政策落实</w:t>
            </w:r>
          </w:p>
          <w:p w14:paraId="69D366DD">
            <w:pPr>
              <w:pStyle w:val="13"/>
              <w:spacing w:line="240" w:lineRule="auto"/>
              <w:ind w:left="0"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环境与社会风险防控</w:t>
            </w:r>
          </w:p>
        </w:tc>
        <w:tc>
          <w:tcPr>
            <w:tcW w:w="2573" w:type="pct"/>
            <w:tcBorders>
              <w:tl2br w:val="nil"/>
              <w:tr2bl w:val="nil"/>
            </w:tcBorders>
            <w:vAlign w:val="center"/>
          </w:tcPr>
          <w:p w14:paraId="10DFE038">
            <w:pPr>
              <w:spacing w:line="240" w:lineRule="auto"/>
              <w:ind w:firstLine="0" w:firstLineChars="0"/>
              <w:rPr>
                <w:rFonts w:ascii="宋体" w:hAnsi="宋体" w:eastAsia="宋体" w:cs="宋体"/>
              </w:rPr>
            </w:pPr>
            <w:r>
              <w:rPr>
                <w:rFonts w:hint="eastAsia" w:ascii="宋体" w:hAnsi="宋体" w:eastAsia="宋体" w:cs="宋体"/>
                <w:color w:val="000000" w:themeColor="text1"/>
                <w:sz w:val="24"/>
                <w:szCs w:val="24"/>
                <w14:textFill>
                  <w14:solidFill>
                    <w14:schemeClr w14:val="tx1"/>
                  </w14:solidFill>
                </w14:textFill>
              </w:rPr>
              <w:t>本行严格遵循国家环保法律法规、产业政策及行业准入要求，实施差异化授信政策和风险敞口管理机制。针对自然相关风险影响较大的行业，结合企业环境合规情况动态调整授信策略；同时，规范开展绿色信贷统计与信息披露工作，按监管要求完成数据报送，并积极对接国家及地方自然相关政策导向，参照《生物多样性金融目录（试用稿）》推动生物多样性相关信贷业务发展。</w:t>
            </w:r>
          </w:p>
        </w:tc>
      </w:tr>
      <w:tr w14:paraId="438D2B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61" w:hRule="atLeast"/>
          <w:jc w:val="center"/>
        </w:trPr>
        <w:tc>
          <w:tcPr>
            <w:tcW w:w="978" w:type="pct"/>
            <w:tcBorders>
              <w:tl2br w:val="nil"/>
              <w:tr2bl w:val="nil"/>
            </w:tcBorders>
            <w:vAlign w:val="center"/>
          </w:tcPr>
          <w:p w14:paraId="44CE3495">
            <w:pPr>
              <w:spacing w:line="240" w:lineRule="auto"/>
              <w:ind w:firstLine="0" w:firstLineChars="0"/>
              <w:jc w:val="center"/>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股东</w:t>
            </w:r>
          </w:p>
        </w:tc>
        <w:tc>
          <w:tcPr>
            <w:tcW w:w="1447" w:type="pct"/>
            <w:tcBorders>
              <w:tl2br w:val="nil"/>
              <w:tr2bl w:val="nil"/>
            </w:tcBorders>
            <w:vAlign w:val="center"/>
          </w:tcPr>
          <w:p w14:paraId="5B6A54EC">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可持续经营能力</w:t>
            </w:r>
          </w:p>
          <w:p w14:paraId="59B8308D">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自然相关风险控制</w:t>
            </w:r>
          </w:p>
          <w:p w14:paraId="6DC4A623">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绿色金融长期价值</w:t>
            </w:r>
          </w:p>
          <w:p w14:paraId="07F36D3B">
            <w:pPr>
              <w:spacing w:line="240" w:lineRule="auto"/>
              <w:ind w:firstLine="0" w:firstLineChars="0"/>
              <w:jc w:val="center"/>
              <w:rPr>
                <w:rFonts w:ascii="宋体" w:hAnsi="宋体" w:eastAsia="宋体" w:cs="宋体"/>
              </w:rPr>
            </w:pPr>
            <w:r>
              <w:rPr>
                <w:rFonts w:hint="eastAsia" w:ascii="宋体" w:hAnsi="宋体" w:eastAsia="宋体" w:cs="宋体"/>
                <w:color w:val="000000" w:themeColor="text1"/>
                <w:sz w:val="24"/>
                <w:szCs w:val="24"/>
                <w14:textFill>
                  <w14:solidFill>
                    <w14:schemeClr w14:val="tx1"/>
                  </w14:solidFill>
                </w14:textFill>
              </w:rPr>
              <w:t>资产质量稳定</w:t>
            </w:r>
          </w:p>
        </w:tc>
        <w:tc>
          <w:tcPr>
            <w:tcW w:w="2573" w:type="pct"/>
            <w:tcBorders>
              <w:tl2br w:val="nil"/>
              <w:tr2bl w:val="nil"/>
            </w:tcBorders>
            <w:vAlign w:val="center"/>
          </w:tcPr>
          <w:p w14:paraId="30AFE2F1">
            <w:pPr>
              <w:spacing w:line="240" w:lineRule="auto"/>
              <w:ind w:firstLine="0" w:firstLineChars="0"/>
              <w:rPr>
                <w:rFonts w:ascii="宋体" w:hAnsi="宋体" w:eastAsia="宋体" w:cs="宋体"/>
              </w:rPr>
            </w:pPr>
            <w:r>
              <w:rPr>
                <w:rFonts w:hint="eastAsia" w:ascii="宋体" w:hAnsi="宋体" w:eastAsia="宋体" w:cs="宋体"/>
                <w:color w:val="000000" w:themeColor="text1"/>
                <w:sz w:val="24"/>
                <w:szCs w:val="24"/>
                <w14:textFill>
                  <w14:solidFill>
                    <w14:schemeClr w14:val="tx1"/>
                  </w14:solidFill>
                </w14:textFill>
              </w:rPr>
              <w:t>股东关注本行绿色金融发展对长期经营质量和风险防控能力的影响。本行通过完善绿色金融治理机制、明确绿色信贷发展目标、优化信贷投向结构，将清洁能源、节能环保、污染治理、资源综合利用、绿色交通和生态修复等领域作为重要支持方向，推动金融资源服务区域绿色低碳转型。通过加强环境与社会风险识别，降低自然相关风险向信用风险传导的可能性，提升长期价值创造能力。</w:t>
            </w:r>
          </w:p>
        </w:tc>
      </w:tr>
      <w:tr w14:paraId="1385B8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6" w:hRule="atLeast"/>
          <w:jc w:val="center"/>
        </w:trPr>
        <w:tc>
          <w:tcPr>
            <w:tcW w:w="978" w:type="pct"/>
            <w:tcBorders>
              <w:tl2br w:val="nil"/>
              <w:tr2bl w:val="nil"/>
            </w:tcBorders>
            <w:vAlign w:val="center"/>
          </w:tcPr>
          <w:p w14:paraId="7BFBD329">
            <w:pPr>
              <w:spacing w:line="240" w:lineRule="auto"/>
              <w:ind w:firstLine="0" w:firstLineChars="0"/>
              <w:jc w:val="center"/>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客户</w:t>
            </w:r>
          </w:p>
        </w:tc>
        <w:tc>
          <w:tcPr>
            <w:tcW w:w="1447" w:type="pct"/>
            <w:tcBorders>
              <w:tl2br w:val="nil"/>
              <w:tr2bl w:val="nil"/>
            </w:tcBorders>
            <w:vAlign w:val="center"/>
          </w:tcPr>
          <w:p w14:paraId="31AE816E">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绿色信贷准入要求</w:t>
            </w:r>
          </w:p>
          <w:p w14:paraId="1448E543">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生态环保合规要求</w:t>
            </w:r>
          </w:p>
          <w:p w14:paraId="011670EF">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绿色转型融资需求</w:t>
            </w:r>
          </w:p>
          <w:p w14:paraId="7314868D">
            <w:pPr>
              <w:spacing w:line="240" w:lineRule="auto"/>
              <w:ind w:firstLine="0" w:firstLineChars="0"/>
              <w:jc w:val="center"/>
              <w:rPr>
                <w:rFonts w:ascii="宋体" w:hAnsi="宋体" w:eastAsia="宋体" w:cs="宋体"/>
              </w:rPr>
            </w:pPr>
            <w:r>
              <w:rPr>
                <w:rFonts w:hint="eastAsia" w:ascii="宋体" w:hAnsi="宋体" w:eastAsia="宋体" w:cs="宋体"/>
                <w:color w:val="000000" w:themeColor="text1"/>
                <w:sz w:val="24"/>
                <w:szCs w:val="24"/>
                <w14:textFill>
                  <w14:solidFill>
                    <w14:schemeClr w14:val="tx1"/>
                  </w14:solidFill>
                </w14:textFill>
              </w:rPr>
              <w:t>融资效率和成本</w:t>
            </w:r>
          </w:p>
        </w:tc>
        <w:tc>
          <w:tcPr>
            <w:tcW w:w="2573" w:type="pct"/>
            <w:tcBorders>
              <w:tl2br w:val="nil"/>
              <w:tr2bl w:val="nil"/>
            </w:tcBorders>
            <w:vAlign w:val="center"/>
          </w:tcPr>
          <w:p w14:paraId="5B0AC83F">
            <w:pPr>
              <w:pStyle w:val="25"/>
              <w:widowControl w:val="0"/>
              <w:ind w:firstLine="0" w:firstLineChars="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于煤炭、化工、电力、制造、物流等传统行业客户，自然相关议题主要体现为节能降碳、污染治理、废气废水处理、固废利用和清洁生产等转型要求；对于环保、新能源、资源循环利用等客户，则体现为生态环境改善和资源效率提升带来的发展机遇。本行通过绿色审批、差异化定价和多元化信贷产品，支持客户开展节能改造、污染治理、工业固废综合利用、中水回用、太阳能利用、绿色交通等项目，引导客户提升自然资源利用效率和环境管理水平。</w:t>
            </w:r>
          </w:p>
        </w:tc>
      </w:tr>
      <w:tr w14:paraId="7208BA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47" w:hRule="atLeast"/>
          <w:jc w:val="center"/>
        </w:trPr>
        <w:tc>
          <w:tcPr>
            <w:tcW w:w="978" w:type="pct"/>
            <w:tcBorders>
              <w:tl2br w:val="nil"/>
              <w:tr2bl w:val="nil"/>
            </w:tcBorders>
            <w:vAlign w:val="center"/>
          </w:tcPr>
          <w:p w14:paraId="3DEDF143">
            <w:pPr>
              <w:spacing w:line="240" w:lineRule="auto"/>
              <w:ind w:firstLine="0" w:firstLineChars="0"/>
              <w:jc w:val="center"/>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员工及管理层</w:t>
            </w:r>
          </w:p>
        </w:tc>
        <w:tc>
          <w:tcPr>
            <w:tcW w:w="1447" w:type="pct"/>
            <w:tcBorders>
              <w:tl2br w:val="nil"/>
              <w:tr2bl w:val="nil"/>
            </w:tcBorders>
            <w:vAlign w:val="center"/>
          </w:tcPr>
          <w:p w14:paraId="5464414E">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自然相关风险认知</w:t>
            </w:r>
          </w:p>
          <w:p w14:paraId="3C68B517">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绿色金融业务能力</w:t>
            </w:r>
          </w:p>
          <w:p w14:paraId="736BAFCD">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环境与社会风险识别</w:t>
            </w:r>
          </w:p>
          <w:p w14:paraId="58AEA53B">
            <w:pPr>
              <w:spacing w:line="240" w:lineRule="auto"/>
              <w:ind w:firstLine="0" w:firstLineChars="0"/>
              <w:jc w:val="center"/>
              <w:rPr>
                <w:rFonts w:ascii="宋体" w:hAnsi="宋体" w:eastAsia="宋体" w:cs="宋体"/>
              </w:rPr>
            </w:pPr>
            <w:r>
              <w:rPr>
                <w:rFonts w:hint="eastAsia" w:ascii="宋体" w:hAnsi="宋体" w:eastAsia="宋体" w:cs="宋体"/>
                <w:color w:val="000000" w:themeColor="text1"/>
                <w:sz w:val="24"/>
                <w:szCs w:val="24"/>
                <w14:textFill>
                  <w14:solidFill>
                    <w14:schemeClr w14:val="tx1"/>
                  </w14:solidFill>
                </w14:textFill>
              </w:rPr>
              <w:t>绿色运营意识</w:t>
            </w:r>
          </w:p>
        </w:tc>
        <w:tc>
          <w:tcPr>
            <w:tcW w:w="2573" w:type="pct"/>
            <w:tcBorders>
              <w:tl2br w:val="nil"/>
              <w:tr2bl w:val="nil"/>
            </w:tcBorders>
            <w:vAlign w:val="center"/>
          </w:tcPr>
          <w:p w14:paraId="6C4D67E3">
            <w:pPr>
              <w:spacing w:line="240" w:lineRule="auto"/>
              <w:ind w:firstLine="0" w:firstLineChars="0"/>
              <w:rPr>
                <w:rFonts w:ascii="宋体" w:hAnsi="宋体" w:eastAsia="宋体" w:cs="宋体"/>
                <w:color w:val="000000" w:themeColor="text1"/>
                <w:sz w:val="24"/>
                <w:szCs w:val="24"/>
                <w:highlight w:val="yellow"/>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员工及管理层是自然相关管理要求落地的重要主体。本行通过绿色信贷制度执行、业务培训、风险识别和考核管理，提升员工对自然相关风险与机遇的理解能力。客户经理和审批、风控、合规等岗位在业务过程中关注客户环保合规、污染治理、资源利用效率和绿色转型进展，推动自然相关因素进入客户准入、授信审查、贷后管理和风险监测环节。同时，本行在内部运营中倡导节能降耗、绿色办公和数字化服务，减少运营活动对自然资源的占用。</w:t>
            </w:r>
          </w:p>
        </w:tc>
      </w:tr>
      <w:tr w14:paraId="6667C0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9" w:hRule="atLeast"/>
          <w:jc w:val="center"/>
        </w:trPr>
        <w:tc>
          <w:tcPr>
            <w:tcW w:w="978" w:type="pct"/>
            <w:tcBorders>
              <w:tl2br w:val="nil"/>
              <w:tr2bl w:val="nil"/>
            </w:tcBorders>
            <w:vAlign w:val="center"/>
          </w:tcPr>
          <w:p w14:paraId="786815B2">
            <w:pPr>
              <w:spacing w:line="240" w:lineRule="auto"/>
              <w:ind w:firstLine="0" w:firstLineChars="0"/>
              <w:jc w:val="center"/>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社区及社会公众</w:t>
            </w:r>
          </w:p>
        </w:tc>
        <w:tc>
          <w:tcPr>
            <w:tcW w:w="1447" w:type="pct"/>
            <w:tcBorders>
              <w:tl2br w:val="nil"/>
              <w:tr2bl w:val="nil"/>
            </w:tcBorders>
            <w:vAlign w:val="center"/>
          </w:tcPr>
          <w:p w14:paraId="530CE97C">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生态环境改善</w:t>
            </w:r>
          </w:p>
          <w:p w14:paraId="6DD5F597">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污染防治成效</w:t>
            </w:r>
          </w:p>
          <w:p w14:paraId="3BCB81A4">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资源循环利用</w:t>
            </w:r>
          </w:p>
          <w:p w14:paraId="161337FE">
            <w:pPr>
              <w:spacing w:line="240" w:lineRule="auto"/>
              <w:ind w:firstLine="0" w:firstLineChars="0"/>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生物多样性与生态系统保护</w:t>
            </w:r>
          </w:p>
          <w:p w14:paraId="40BD4778">
            <w:pPr>
              <w:spacing w:line="240" w:lineRule="auto"/>
              <w:ind w:firstLine="0" w:firstLineChars="0"/>
              <w:jc w:val="center"/>
              <w:rPr>
                <w:rFonts w:ascii="宋体" w:hAnsi="宋体" w:eastAsia="宋体" w:cs="宋体"/>
                <w:color w:val="000000" w:themeColor="text1"/>
                <w:sz w:val="24"/>
                <w:szCs w:val="24"/>
                <w:highlight w:val="yellow"/>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区域可持续发展</w:t>
            </w:r>
          </w:p>
        </w:tc>
        <w:tc>
          <w:tcPr>
            <w:tcW w:w="2573" w:type="pct"/>
            <w:tcBorders>
              <w:tl2br w:val="nil"/>
              <w:tr2bl w:val="nil"/>
            </w:tcBorders>
            <w:vAlign w:val="center"/>
          </w:tcPr>
          <w:p w14:paraId="4C15482C">
            <w:pPr>
              <w:spacing w:line="240" w:lineRule="auto"/>
              <w:ind w:firstLine="0" w:firstLineChars="0"/>
              <w:rPr>
                <w:rFonts w:ascii="宋体" w:hAnsi="宋体" w:eastAsia="宋体" w:cs="宋体"/>
                <w:b/>
                <w:bCs/>
                <w:color w:val="000000" w:themeColor="text1"/>
                <w:sz w:val="24"/>
                <w:szCs w:val="24"/>
                <w:highlight w:val="yellow"/>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社区及社会公众关注金融活动对区域生态环境和生活环境质量的影响。本行通过支持污水处理及中水回用、危险废物处置、工业固废综合利用、垃圾资源化利用、清洁能源、绿色交通、生态修复等项目，间接促进污染减排、资源节约和生态环境改善。在生物多样性和生态系统保护方面，本行重点关注草原植被恢复、水土保持、湿地保护、荒漠化治理、矿区生态修复、农林废弃物综合利用等与生态功能维护相关的领域，助力区域生态系统稳定和可持续发展。</w:t>
            </w:r>
          </w:p>
        </w:tc>
      </w:tr>
    </w:tbl>
    <w:p w14:paraId="5659932C">
      <w:pPr>
        <w:pStyle w:val="14"/>
        <w:spacing w:before="190" w:beforeLines="50"/>
        <w:rPr>
          <w:rFonts w:ascii="宋体" w:hAnsi="宋体" w:eastAsia="宋体" w:cs="宋体"/>
        </w:rPr>
      </w:pPr>
      <w:bookmarkStart w:id="102" w:name="_Toc22842"/>
      <w:bookmarkStart w:id="103" w:name="_Toc1369"/>
      <w:bookmarkStart w:id="104" w:name="_Toc21451"/>
      <w:bookmarkStart w:id="105" w:name="_Toc27439"/>
      <w:bookmarkStart w:id="106" w:name="_Toc26709"/>
      <w:bookmarkStart w:id="107" w:name="_Toc23251"/>
      <w:bookmarkStart w:id="108" w:name="_Toc29015"/>
      <w:bookmarkStart w:id="109" w:name="_Toc841"/>
      <w:bookmarkStart w:id="110" w:name="_Toc15967"/>
      <w:bookmarkStart w:id="111" w:name="_Toc23258"/>
      <w:bookmarkStart w:id="112" w:name="_Toc2934"/>
      <w:bookmarkStart w:id="113" w:name="_Toc30088"/>
      <w:bookmarkStart w:id="114" w:name="_Toc6571"/>
      <w:bookmarkStart w:id="115" w:name="_Toc3293"/>
      <w:bookmarkStart w:id="116" w:name="_Toc24382"/>
      <w:bookmarkStart w:id="117" w:name="_Toc25211"/>
      <w:bookmarkStart w:id="118" w:name="_Toc16267"/>
      <w:bookmarkStart w:id="119" w:name="_Toc27738"/>
      <w:bookmarkStart w:id="120" w:name="_Toc17859"/>
      <w:bookmarkStart w:id="121" w:name="_Toc8473"/>
      <w:bookmarkStart w:id="122" w:name="_Toc17550"/>
      <w:bookmarkStart w:id="123" w:name="_Toc6254"/>
      <w:bookmarkStart w:id="124" w:name="_Toc20496"/>
      <w:bookmarkStart w:id="125" w:name="_Toc21381"/>
      <w:bookmarkStart w:id="126" w:name="_Toc28970"/>
      <w:bookmarkStart w:id="127" w:name="_Toc20532"/>
      <w:bookmarkStart w:id="128" w:name="_Toc17090"/>
      <w:bookmarkStart w:id="129" w:name="_Toc16933"/>
      <w:bookmarkStart w:id="130" w:name="_Toc5853"/>
      <w:bookmarkStart w:id="131" w:name="_Toc1276"/>
      <w:bookmarkStart w:id="132" w:name="_Toc25290"/>
      <w:r>
        <w:rPr>
          <w:rFonts w:hint="eastAsia" w:ascii="宋体" w:hAnsi="宋体" w:eastAsia="宋体" w:cs="宋体"/>
        </w:rPr>
        <w:br w:type="page"/>
      </w:r>
    </w:p>
    <w:p w14:paraId="456FEDE1">
      <w:pPr>
        <w:pStyle w:val="2"/>
        <w:rPr>
          <w:rFonts w:ascii="宋体" w:hAnsi="宋体" w:eastAsia="宋体" w:cs="宋体"/>
        </w:rPr>
      </w:pPr>
      <w:bookmarkStart w:id="133" w:name="_Toc27568"/>
      <w:bookmarkStart w:id="134" w:name="_Toc225235188"/>
      <w:bookmarkStart w:id="135" w:name="_Toc25973"/>
      <w:bookmarkStart w:id="136" w:name="_Toc17509"/>
      <w:bookmarkStart w:id="137" w:name="_Toc27593"/>
      <w:r>
        <w:rPr>
          <w:rFonts w:hint="eastAsia" w:ascii="宋体" w:hAnsi="宋体" w:eastAsia="宋体" w:cs="宋体"/>
        </w:rPr>
        <w:t>战略</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7205AF72">
      <w:pPr>
        <w:pStyle w:val="3"/>
        <w:rPr>
          <w:rFonts w:ascii="宋体" w:hAnsi="宋体" w:eastAsia="宋体" w:cs="宋体"/>
        </w:rPr>
      </w:pPr>
      <w:bookmarkStart w:id="138" w:name="_Toc225235189"/>
      <w:bookmarkStart w:id="139" w:name="_Toc24294"/>
      <w:bookmarkStart w:id="140" w:name="_Toc5118"/>
      <w:bookmarkStart w:id="141" w:name="_Toc7583"/>
      <w:bookmarkStart w:id="142" w:name="_Toc24681"/>
      <w:r>
        <w:rPr>
          <w:rFonts w:hint="eastAsia" w:ascii="宋体" w:hAnsi="宋体" w:eastAsia="宋体" w:cs="宋体"/>
        </w:rPr>
        <w:t>乌海银行自然相关战略</w:t>
      </w:r>
      <w:bookmarkEnd w:id="138"/>
      <w:bookmarkEnd w:id="139"/>
      <w:bookmarkEnd w:id="140"/>
      <w:bookmarkEnd w:id="141"/>
      <w:bookmarkEnd w:id="142"/>
    </w:p>
    <w:p w14:paraId="7B5E1E79">
      <w:pPr>
        <w:pStyle w:val="4"/>
        <w:rPr>
          <w:rFonts w:ascii="宋体" w:hAnsi="宋体" w:eastAsia="宋体" w:cs="宋体"/>
        </w:rPr>
      </w:pPr>
      <w:bookmarkStart w:id="143" w:name="_Toc13285"/>
      <w:bookmarkStart w:id="144" w:name="_Toc21974"/>
      <w:bookmarkStart w:id="145" w:name="_Toc21906"/>
      <w:bookmarkStart w:id="146" w:name="_Toc123"/>
      <w:bookmarkStart w:id="147" w:name="_Toc27224"/>
      <w:bookmarkStart w:id="148" w:name="_Toc26751"/>
      <w:bookmarkStart w:id="149" w:name="_Toc1238"/>
      <w:bookmarkStart w:id="150" w:name="_Toc11361"/>
      <w:bookmarkStart w:id="151" w:name="_Toc8993"/>
      <w:bookmarkStart w:id="152" w:name="_Toc3658"/>
      <w:bookmarkStart w:id="153" w:name="_Toc4394"/>
      <w:bookmarkStart w:id="154" w:name="_Toc17377"/>
      <w:bookmarkStart w:id="155" w:name="_Toc22829"/>
      <w:bookmarkStart w:id="156" w:name="_Toc12776"/>
      <w:bookmarkStart w:id="157" w:name="_Toc12012"/>
      <w:bookmarkStart w:id="158" w:name="_Toc8026"/>
      <w:bookmarkStart w:id="159" w:name="_Toc17597"/>
      <w:bookmarkStart w:id="160" w:name="_Toc17051"/>
      <w:bookmarkStart w:id="161" w:name="_Toc28881"/>
      <w:bookmarkStart w:id="162" w:name="_Toc16112"/>
      <w:bookmarkStart w:id="163" w:name="_Toc21766"/>
      <w:bookmarkStart w:id="164" w:name="_Toc21500"/>
      <w:bookmarkStart w:id="165" w:name="_Toc25465"/>
      <w:bookmarkStart w:id="166" w:name="_Toc7353"/>
      <w:bookmarkStart w:id="167" w:name="_Toc28876"/>
      <w:bookmarkStart w:id="168" w:name="_Toc8242"/>
      <w:bookmarkStart w:id="169" w:name="_Toc23198"/>
      <w:bookmarkStart w:id="170" w:name="_Toc24406"/>
      <w:bookmarkStart w:id="171" w:name="_Toc28344"/>
      <w:bookmarkStart w:id="172" w:name="_Toc5366"/>
      <w:bookmarkStart w:id="173" w:name="_Toc28074"/>
      <w:bookmarkStart w:id="174" w:name="_Toc8004"/>
      <w:r>
        <w:rPr>
          <w:rFonts w:hint="eastAsia" w:ascii="宋体" w:hAnsi="宋体" w:eastAsia="宋体" w:cs="宋体"/>
        </w:rPr>
        <w:t>将自然相关理念融入整体经营战略</w:t>
      </w:r>
    </w:p>
    <w:p w14:paraId="3B105654">
      <w:pPr>
        <w:pStyle w:val="38"/>
        <w:ind w:firstLine="560" w:firstLineChars="200"/>
        <w:rPr>
          <w:rFonts w:ascii="宋体" w:hAnsi="宋体" w:eastAsia="宋体" w:cs="宋体"/>
        </w:rPr>
      </w:pPr>
      <w:r>
        <w:rPr>
          <w:rFonts w:hint="eastAsia" w:ascii="宋体" w:hAnsi="宋体" w:eastAsia="宋体" w:cs="宋体"/>
        </w:rPr>
        <w:t>本行将自然相关理念融入绿色金融发展与服务区域高质量发展的整体战略中，围绕国家“双碳”目标、生态文明建设要求及金融“五篇</w:t>
      </w:r>
      <w:r>
        <w:rPr>
          <w:rFonts w:eastAsia="宋体" w:cs="Times New Roman"/>
        </w:rPr>
        <w:t>大文章</w:t>
      </w:r>
      <w:r>
        <w:rPr>
          <w:rFonts w:hint="eastAsia" w:ascii="宋体" w:hAnsi="宋体" w:eastAsia="宋体" w:cs="宋体"/>
        </w:rPr>
        <w:t>”</w:t>
      </w:r>
      <w:r>
        <w:rPr>
          <w:rFonts w:eastAsia="宋体" w:cs="Times New Roman"/>
        </w:rPr>
        <w:t>战略部署，结合《内蒙古自治区绿色金融发展规划（2023—2025年）》和乌海地区实际，持续完善绿色金融服务体系，引导</w:t>
      </w:r>
      <w:r>
        <w:rPr>
          <w:rFonts w:hint="eastAsia" w:ascii="宋体" w:hAnsi="宋体" w:eastAsia="宋体" w:cs="宋体"/>
        </w:rPr>
        <w:t>金融资源向绿色低碳领域集聚。结合乌海资源型城市转型、黄河流域生态保护和产业结构调整需求，本行将清洁能源、节能环保、资源综合利用、绿色交通、生态保护与修复等领域作为重要支持方向，推动业务发展与资源节约、污染防治、生态改善及区域绿色转型相协调，逐步形成兼顾生态效益、经济效益和风险控制的自然相关战略导向。</w:t>
      </w:r>
    </w:p>
    <w:p w14:paraId="71984B18">
      <w:pPr>
        <w:pStyle w:val="4"/>
        <w:rPr>
          <w:rFonts w:ascii="宋体" w:hAnsi="宋体" w:eastAsia="宋体" w:cs="宋体"/>
        </w:rPr>
      </w:pPr>
      <w:r>
        <w:rPr>
          <w:rFonts w:hint="eastAsia" w:ascii="宋体" w:hAnsi="宋体" w:eastAsia="宋体" w:cs="宋体"/>
        </w:rPr>
        <w:t>优化信贷结构，引导资源向自然友好领域配置</w:t>
      </w:r>
    </w:p>
    <w:p w14:paraId="68898CB7">
      <w:pPr>
        <w:pStyle w:val="38"/>
        <w:ind w:firstLine="560" w:firstLineChars="200"/>
        <w:rPr>
          <w:rFonts w:ascii="宋体" w:hAnsi="宋体" w:eastAsia="宋体" w:cs="宋体"/>
        </w:rPr>
      </w:pPr>
      <w:r>
        <w:rPr>
          <w:rFonts w:hint="eastAsia" w:ascii="宋体" w:hAnsi="宋体" w:eastAsia="宋体" w:cs="宋体"/>
        </w:rPr>
        <w:t>本行将信贷结构优化作为落实自然相关战略的重要抓手，坚持区别对待、有保有压的信贷原则，合理配置信贷资源，持续调整和优化贷款结构。围绕乌海地区产业特点，本行重点支持清洁能源与新能源、节能环保与绿色制造、资源综合利用、绿色交通与智慧物流、生态保护与修复等领域，推动信贷资源进一步向有利于节能减排、污染治理、资源循环利用和生态环境改善的企业及项目倾斜。对于传统煤炭、化工、电力等行业，本行关注其节能技术改造、清洁生产设施建设、废气废水处理、资源再利用等绿色转型需求，引导相关客户提升资源利用效率和环境治理水平。</w:t>
      </w:r>
    </w:p>
    <w:p w14:paraId="3C2A4632">
      <w:pPr>
        <w:pStyle w:val="4"/>
        <w:rPr>
          <w:rFonts w:ascii="宋体" w:hAnsi="宋体" w:eastAsia="宋体" w:cs="宋体"/>
        </w:rPr>
      </w:pPr>
      <w:r>
        <w:rPr>
          <w:rFonts w:hint="eastAsia" w:ascii="宋体" w:hAnsi="宋体" w:eastAsia="宋体" w:cs="宋体"/>
        </w:rPr>
        <w:t>将自然相关风险纳入信贷与经营管理体系</w:t>
      </w:r>
    </w:p>
    <w:p w14:paraId="48063413">
      <w:pPr>
        <w:ind w:firstLine="560"/>
        <w:rPr>
          <w:rFonts w:ascii="宋体" w:hAnsi="宋体" w:eastAsia="宋体" w:cs="宋体"/>
        </w:rPr>
      </w:pPr>
      <w:r>
        <w:rPr>
          <w:rFonts w:hint="eastAsia" w:ascii="宋体" w:hAnsi="宋体" w:eastAsia="宋体" w:cs="宋体"/>
        </w:rPr>
        <w:t>本行逐步将环境与自然相关风险纳入信贷和经营管理体系，在客户准入、授信审批、贷后管理等环节强化环境风险识别、评估、监测与控制。在风险识别方面，本行关注环境、气候及其他自然相关风险，将企业环保信息和环保守法情况作为金融服务的重要依据；在风险评估方面，对于环保工程不符合要求、主体已完工但环保工程未完工或未建设的项目，审慎考虑贷款支持；在风险控制方面，对淘汰类项目停止授信，并对国家明令禁止、不符合环保规定的煤炭、石化、电力、钢铁等企业和项目严格控制贷款投放。通过上述机制，本行强化自然相关风险向信用风险、市场风险和声誉风险传导的前瞻管理。</w:t>
      </w:r>
    </w:p>
    <w:p w14:paraId="38DD2D1F">
      <w:pPr>
        <w:pStyle w:val="4"/>
        <w:rPr>
          <w:rFonts w:ascii="宋体" w:hAnsi="宋体" w:eastAsia="宋体" w:cs="宋体"/>
        </w:rPr>
      </w:pPr>
      <w:r>
        <w:rPr>
          <w:rFonts w:hint="eastAsia" w:ascii="宋体" w:hAnsi="宋体" w:eastAsia="宋体" w:cs="宋体"/>
        </w:rPr>
        <w:t>探索自然相关金融服务模式</w:t>
      </w:r>
    </w:p>
    <w:p w14:paraId="0C13D2D0">
      <w:pPr>
        <w:ind w:firstLine="560"/>
        <w:rPr>
          <w:rFonts w:ascii="宋体" w:hAnsi="宋体" w:eastAsia="宋体" w:cs="宋体"/>
        </w:rPr>
      </w:pPr>
      <w:r>
        <w:rPr>
          <w:rFonts w:hint="eastAsia" w:ascii="宋体" w:hAnsi="宋体" w:eastAsia="宋体" w:cs="宋体"/>
        </w:rPr>
        <w:t>在自然相关战略推进过程中，本行将金融产品和服务模式创新作为提升自然相关金融服务能力的重要方向。根据绿色金融实施方案，本行拟围绕“绿色+供应链”“绿色+科技贷”“绿色+碳资产质押”等业务形态开展探索，并针对绿色交通、绿色建筑、新能源制造等细分行业，研究绿色订单融资、碳排放权收益质押贷款等特色产品，以提升绿色金融产品的适配性和可及性。相关创新方向可进一步服务节能环保、清洁能源、资源综合利用、绿色制造、绿色交通和生态修复等自然相关重点领域。通过逐步丰富自然友好型金融服务模式，本行可更好满足区域绿色产业发展需求，引导金融资源流向有助于降低自然资源压力、改善生态系统质量和提升区域可持续发展能力的领域。</w:t>
      </w:r>
    </w:p>
    <w:p w14:paraId="77A143B0">
      <w:pPr>
        <w:ind w:firstLine="560"/>
        <w:rPr>
          <w:rFonts w:ascii="宋体" w:hAnsi="宋体" w:eastAsia="宋体" w:cs="宋体"/>
        </w:rPr>
      </w:pPr>
      <w:r>
        <w:rPr>
          <w:rFonts w:hint="eastAsia" w:ascii="宋体" w:hAnsi="宋体" w:eastAsia="宋体" w:cs="宋体"/>
        </w:rPr>
        <w:br w:type="page"/>
      </w:r>
    </w:p>
    <w:p w14:paraId="1B6A4067">
      <w:pPr>
        <w:pStyle w:val="3"/>
        <w:rPr>
          <w:rFonts w:ascii="宋体" w:hAnsi="宋体" w:eastAsia="宋体" w:cs="宋体"/>
        </w:rPr>
      </w:pPr>
      <w:bookmarkStart w:id="175" w:name="_Toc17454"/>
      <w:bookmarkStart w:id="176" w:name="_Toc28798"/>
      <w:bookmarkStart w:id="177" w:name="_Toc225235190"/>
      <w:bookmarkStart w:id="178" w:name="_Toc31143"/>
      <w:r>
        <w:rPr>
          <w:rFonts w:hint="eastAsia" w:ascii="宋体" w:hAnsi="宋体" w:eastAsia="宋体" w:cs="宋体"/>
        </w:rPr>
        <w:t>评估自然相关依赖与影响</w:t>
      </w:r>
      <w:bookmarkEnd w:id="175"/>
    </w:p>
    <w:p w14:paraId="20FEC8E6">
      <w:pPr>
        <w:ind w:firstLine="560"/>
        <w:rPr>
          <w:rFonts w:ascii="宋体" w:hAnsi="宋体" w:eastAsia="宋体" w:cs="宋体"/>
        </w:rPr>
      </w:pPr>
      <w:r>
        <w:rPr>
          <w:rFonts w:hint="eastAsia" w:ascii="宋体" w:hAnsi="宋体" w:eastAsia="宋体" w:cs="宋体"/>
        </w:rPr>
        <w:t>我行与自然的交互关联，主要体现在日常经营以及投融资业务层面。相较于自身经营，投融资活动覆盖行业范围更广、涉及资金规模更大，且深度渗透至众多不同类型的产业链之中。正因如此，投融资业务对我行的财务状况、资产质量、风险管理以及长期发展价值，产生了更为突出且具有系统性的影响。</w:t>
      </w:r>
    </w:p>
    <w:p w14:paraId="110DC540">
      <w:pPr>
        <w:ind w:firstLine="560"/>
        <w:rPr>
          <w:rFonts w:ascii="宋体" w:hAnsi="宋体" w:eastAsia="宋体" w:cs="宋体"/>
        </w:rPr>
        <w:sectPr>
          <w:footerReference r:id="rId16" w:type="first"/>
          <w:footerReference r:id="rId15" w:type="default"/>
          <w:pgSz w:w="11906" w:h="16838"/>
          <w:pgMar w:top="1440" w:right="1800" w:bottom="1440" w:left="1800" w:header="851" w:footer="992" w:gutter="0"/>
          <w:pgNumType w:start="1"/>
          <w:cols w:space="425" w:num="1"/>
          <w:titlePg/>
          <w:docGrid w:type="lines" w:linePitch="381" w:charSpace="0"/>
        </w:sectPr>
      </w:pPr>
    </w:p>
    <w:p w14:paraId="6D24FF8F">
      <w:pPr>
        <w:pStyle w:val="4"/>
        <w:rPr>
          <w:rFonts w:ascii="宋体" w:hAnsi="宋体" w:eastAsia="宋体" w:cs="宋体"/>
        </w:rPr>
      </w:pPr>
      <w:r>
        <w:rPr>
          <w:rFonts w:hint="eastAsia" w:ascii="宋体" w:hAnsi="宋体" w:eastAsia="宋体" w:cs="宋体"/>
        </w:rPr>
        <w:t>投融资业务对自然的依赖与影响</w:t>
      </w:r>
    </w:p>
    <w:p w14:paraId="3A280D93">
      <w:pPr>
        <w:ind w:firstLine="560"/>
        <w:rPr>
          <w:rFonts w:ascii="宋体" w:hAnsi="宋体" w:eastAsia="宋体" w:cs="宋体"/>
        </w:rPr>
      </w:pPr>
      <w:r>
        <w:rPr>
          <w:rFonts w:eastAsia="宋体" w:cs="Times New Roman"/>
        </w:rPr>
        <w:t>2025</w:t>
      </w:r>
      <w:r>
        <w:rPr>
          <w:rFonts w:hint="eastAsia" w:ascii="宋体" w:hAnsi="宋体" w:eastAsia="宋体" w:cs="宋体"/>
        </w:rPr>
        <w:t>年我行绿色信贷资产主要涉及下列行业门类</w:t>
      </w:r>
      <w:r>
        <w:rPr>
          <w:rStyle w:val="48"/>
          <w:rFonts w:hint="eastAsia" w:ascii="宋体" w:hAnsi="宋体" w:eastAsia="宋体" w:cs="宋体"/>
        </w:rPr>
        <w:footnoteReference w:id="0"/>
      </w:r>
      <w:r>
        <w:rPr>
          <w:rFonts w:hint="eastAsia" w:ascii="宋体" w:hAnsi="宋体" w:eastAsia="宋体" w:cs="宋体"/>
        </w:rPr>
        <w:t>，包括电力、热力、燃气及水生产和供应业、建筑业、交通运输、仓储和邮政业、科学研究和技术服务业、水利、环境和公共设施管理业和制造业。本报告运用</w:t>
      </w:r>
      <w:r>
        <w:rPr>
          <w:rFonts w:eastAsia="宋体" w:cs="Times New Roman"/>
        </w:rPr>
        <w:t>ENCORE</w:t>
      </w:r>
      <w:r>
        <w:rPr>
          <w:rStyle w:val="48"/>
          <w:rFonts w:hint="eastAsia" w:ascii="宋体" w:hAnsi="宋体" w:eastAsia="宋体" w:cs="宋体"/>
        </w:rPr>
        <w:footnoteReference w:id="1"/>
      </w:r>
      <w:r>
        <w:rPr>
          <w:rFonts w:hint="eastAsia" w:ascii="宋体" w:hAnsi="宋体" w:eastAsia="宋体" w:cs="宋体"/>
        </w:rPr>
        <w:t>工具，系统评估这些行业的经济活动对自然的依赖与影响，具体结果如下：</w:t>
      </w:r>
    </w:p>
    <w:p w14:paraId="5853AC75">
      <w:pPr>
        <w:pStyle w:val="38"/>
        <w:spacing w:after="0"/>
        <w:ind w:firstLine="0" w:firstLineChars="0"/>
        <w:jc w:val="center"/>
        <w:rPr>
          <w:rFonts w:ascii="宋体" w:hAnsi="宋体" w:eastAsia="宋体" w:cs="宋体"/>
          <w:b/>
          <w:bCs/>
          <w:sz w:val="24"/>
          <w:szCs w:val="18"/>
        </w:rPr>
      </w:pPr>
      <w:r>
        <w:rPr>
          <w:rFonts w:hint="eastAsia" w:ascii="宋体" w:hAnsi="宋体" w:eastAsia="宋体" w:cs="宋体"/>
          <w:b/>
          <w:bCs/>
          <w:sz w:val="24"/>
          <w:szCs w:val="18"/>
        </w:rPr>
        <w:t>表</w:t>
      </w:r>
      <w:r>
        <w:rPr>
          <w:rFonts w:eastAsia="宋体" w:cs="Times New Roman"/>
          <w:b/>
          <w:bCs/>
          <w:sz w:val="24"/>
          <w:szCs w:val="18"/>
        </w:rPr>
        <w:t>3</w:t>
      </w:r>
      <w:r>
        <w:rPr>
          <w:rFonts w:hint="eastAsia" w:ascii="宋体" w:hAnsi="宋体" w:eastAsia="宋体" w:cs="宋体"/>
          <w:b/>
          <w:bCs/>
          <w:sz w:val="24"/>
          <w:szCs w:val="18"/>
        </w:rPr>
        <w:t>.乌海银行投融资业务对自然的依赖</w:t>
      </w:r>
    </w:p>
    <w:tbl>
      <w:tblPr>
        <w:tblStyle w:val="40"/>
        <w:tblW w:w="4996" w:type="pct"/>
        <w:tblInd w:w="0" w:type="dxa"/>
        <w:tblLayout w:type="fixed"/>
        <w:tblCellMar>
          <w:top w:w="0" w:type="dxa"/>
          <w:left w:w="108" w:type="dxa"/>
          <w:bottom w:w="0" w:type="dxa"/>
          <w:right w:w="108" w:type="dxa"/>
        </w:tblCellMar>
      </w:tblPr>
      <w:tblGrid>
        <w:gridCol w:w="1883"/>
        <w:gridCol w:w="3218"/>
        <w:gridCol w:w="754"/>
        <w:gridCol w:w="754"/>
        <w:gridCol w:w="754"/>
        <w:gridCol w:w="754"/>
        <w:gridCol w:w="754"/>
        <w:gridCol w:w="754"/>
        <w:gridCol w:w="754"/>
        <w:gridCol w:w="754"/>
        <w:gridCol w:w="754"/>
        <w:gridCol w:w="754"/>
        <w:gridCol w:w="754"/>
        <w:gridCol w:w="771"/>
      </w:tblGrid>
      <w:tr w14:paraId="0664BB15">
        <w:tblPrEx>
          <w:tblCellMar>
            <w:top w:w="0" w:type="dxa"/>
            <w:left w:w="108" w:type="dxa"/>
            <w:bottom w:w="0" w:type="dxa"/>
            <w:right w:w="108" w:type="dxa"/>
          </w:tblCellMar>
        </w:tblPrEx>
        <w:trPr>
          <w:trHeight w:val="315" w:hRule="atLeast"/>
          <w:tblHeader/>
        </w:trPr>
        <w:tc>
          <w:tcPr>
            <w:tcW w:w="1801" w:type="pct"/>
            <w:gridSpan w:val="2"/>
            <w:tcBorders>
              <w:top w:val="single" w:color="000000" w:sz="8" w:space="0"/>
              <w:left w:val="single" w:color="000000" w:sz="8" w:space="0"/>
              <w:bottom w:val="single" w:color="000000" w:sz="4" w:space="0"/>
              <w:right w:val="single" w:color="000000" w:sz="4" w:space="0"/>
            </w:tcBorders>
            <w:shd w:val="clear" w:color="auto" w:fill="D7D7D7" w:themeFill="background1" w:themeFillShade="D8"/>
            <w:noWrap/>
            <w:vAlign w:val="center"/>
          </w:tcPr>
          <w:p w14:paraId="3A160C9C">
            <w:pPr>
              <w:spacing w:line="240" w:lineRule="auto"/>
              <w:ind w:firstLine="0" w:firstLineChars="0"/>
              <w:jc w:val="center"/>
              <w:textAlignment w:val="center"/>
              <w:rPr>
                <w:rFonts w:ascii="宋体" w:hAnsi="宋体" w:eastAsia="宋体" w:cs="宋体"/>
                <w:b/>
                <w:bCs/>
                <w:color w:val="000000"/>
                <w:sz w:val="22"/>
                <w:lang w:bidi="ar"/>
              </w:rPr>
            </w:pPr>
            <w:r>
              <w:rPr>
                <w:rFonts w:hint="eastAsia" w:ascii="宋体" w:hAnsi="宋体" w:eastAsia="宋体" w:cs="宋体"/>
                <w:b/>
                <w:bCs/>
                <w:color w:val="000000"/>
                <w:sz w:val="22"/>
                <w:lang w:bidi="ar"/>
              </w:rPr>
              <w:t>行业分类</w:t>
            </w:r>
          </w:p>
        </w:tc>
        <w:tc>
          <w:tcPr>
            <w:tcW w:w="3198" w:type="pct"/>
            <w:gridSpan w:val="12"/>
            <w:tcBorders>
              <w:top w:val="single" w:color="000000" w:sz="8" w:space="0"/>
              <w:left w:val="single" w:color="000000" w:sz="4" w:space="0"/>
              <w:bottom w:val="single" w:color="000000" w:sz="4" w:space="0"/>
              <w:right w:val="single" w:color="000000" w:sz="8" w:space="0"/>
            </w:tcBorders>
            <w:shd w:val="clear" w:color="auto" w:fill="D7D7D7" w:themeFill="background1" w:themeFillShade="D8"/>
            <w:noWrap/>
            <w:vAlign w:val="center"/>
          </w:tcPr>
          <w:p w14:paraId="1CAF198C">
            <w:pPr>
              <w:spacing w:line="240" w:lineRule="auto"/>
              <w:ind w:firstLine="0" w:firstLineChars="0"/>
              <w:jc w:val="center"/>
              <w:textAlignment w:val="center"/>
              <w:rPr>
                <w:rFonts w:ascii="宋体" w:hAnsi="宋体" w:eastAsia="宋体" w:cs="宋体"/>
                <w:b/>
                <w:bCs/>
                <w:color w:val="FFFFFF"/>
                <w:sz w:val="22"/>
                <w:lang w:bidi="ar"/>
              </w:rPr>
            </w:pPr>
            <w:r>
              <w:rPr>
                <w:rFonts w:hint="eastAsia" w:ascii="宋体" w:hAnsi="宋体" w:eastAsia="宋体" w:cs="宋体"/>
                <w:b/>
                <w:bCs/>
                <w:sz w:val="22"/>
                <w:lang w:bidi="ar"/>
              </w:rPr>
              <w:t>依赖</w:t>
            </w:r>
          </w:p>
        </w:tc>
      </w:tr>
      <w:tr w14:paraId="642D0DAF">
        <w:tblPrEx>
          <w:tblCellMar>
            <w:top w:w="0" w:type="dxa"/>
            <w:left w:w="108" w:type="dxa"/>
            <w:bottom w:w="0" w:type="dxa"/>
            <w:right w:w="108" w:type="dxa"/>
          </w:tblCellMar>
        </w:tblPrEx>
        <w:trPr>
          <w:trHeight w:val="1104" w:hRule="atLeast"/>
          <w:tblHeader/>
        </w:trPr>
        <w:tc>
          <w:tcPr>
            <w:tcW w:w="665" w:type="pct"/>
            <w:tcBorders>
              <w:top w:val="single" w:color="000000" w:sz="8" w:space="0"/>
              <w:left w:val="single" w:color="000000" w:sz="8" w:space="0"/>
              <w:bottom w:val="single" w:color="000000" w:sz="4" w:space="0"/>
              <w:right w:val="single" w:color="000000" w:sz="4" w:space="0"/>
            </w:tcBorders>
            <w:shd w:val="clear" w:color="auto" w:fill="D7D7D7" w:themeFill="background1" w:themeFillShade="D8"/>
            <w:noWrap/>
            <w:vAlign w:val="center"/>
          </w:tcPr>
          <w:p w14:paraId="5047C854">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行业门类</w:t>
            </w:r>
          </w:p>
        </w:tc>
        <w:tc>
          <w:tcPr>
            <w:tcW w:w="1135"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noWrap/>
            <w:vAlign w:val="center"/>
          </w:tcPr>
          <w:p w14:paraId="38531E40">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细分行业</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noWrap/>
            <w:vAlign w:val="center"/>
          </w:tcPr>
          <w:p w14:paraId="31F28C4A">
            <w:pPr>
              <w:spacing w:line="240" w:lineRule="auto"/>
              <w:ind w:firstLine="0" w:firstLineChars="0"/>
              <w:jc w:val="center"/>
              <w:textAlignment w:val="center"/>
              <w:rPr>
                <w:rFonts w:ascii="宋体" w:hAnsi="宋体" w:eastAsia="宋体" w:cs="宋体"/>
                <w:b/>
                <w:bCs/>
                <w:sz w:val="21"/>
                <w:szCs w:val="21"/>
              </w:rPr>
            </w:pPr>
            <w:r>
              <w:rPr>
                <w:rFonts w:hint="eastAsia" w:ascii="宋体" w:hAnsi="宋体" w:eastAsia="宋体" w:cs="宋体"/>
                <w:b/>
                <w:bCs/>
                <w:sz w:val="21"/>
                <w:szCs w:val="21"/>
                <w:lang w:bidi="ar"/>
              </w:rPr>
              <w:t>固体废物修复</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vAlign w:val="center"/>
          </w:tcPr>
          <w:p w14:paraId="51528B91">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土壤与沉积物维持</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vAlign w:val="center"/>
          </w:tcPr>
          <w:p w14:paraId="51EC7254">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水净化服务</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vAlign w:val="center"/>
          </w:tcPr>
          <w:p w14:paraId="64F071E0">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生物防治</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vAlign w:val="center"/>
          </w:tcPr>
          <w:p w14:paraId="12F96AAA">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空气过滤服务</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vAlign w:val="center"/>
          </w:tcPr>
          <w:p w14:paraId="11FB6516">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洪水缓解服务</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vAlign w:val="center"/>
          </w:tcPr>
          <w:p w14:paraId="4BC762A4">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气候调节</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vAlign w:val="center"/>
          </w:tcPr>
          <w:p w14:paraId="1B70E0BC">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供水</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vAlign w:val="center"/>
          </w:tcPr>
          <w:p w14:paraId="13105C26">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噪音减弱</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vAlign w:val="center"/>
          </w:tcPr>
          <w:p w14:paraId="3AED40B9">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风暴减缓服务</w:t>
            </w:r>
          </w:p>
        </w:tc>
        <w:tc>
          <w:tcPr>
            <w:tcW w:w="266" w:type="pct"/>
            <w:tcBorders>
              <w:top w:val="single" w:color="000000" w:sz="8" w:space="0"/>
              <w:left w:val="single" w:color="000000" w:sz="4" w:space="0"/>
              <w:bottom w:val="single" w:color="000000" w:sz="4" w:space="0"/>
              <w:right w:val="single" w:color="000000" w:sz="4" w:space="0"/>
            </w:tcBorders>
            <w:shd w:val="clear" w:color="auto" w:fill="D7D7D7" w:themeFill="background1" w:themeFillShade="D8"/>
            <w:vAlign w:val="center"/>
          </w:tcPr>
          <w:p w14:paraId="4E1D88AB">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水流调节服务</w:t>
            </w:r>
          </w:p>
        </w:tc>
        <w:tc>
          <w:tcPr>
            <w:tcW w:w="271" w:type="pct"/>
            <w:tcBorders>
              <w:top w:val="single" w:color="000000" w:sz="8" w:space="0"/>
              <w:left w:val="single" w:color="000000" w:sz="4" w:space="0"/>
              <w:bottom w:val="single" w:color="000000" w:sz="4" w:space="0"/>
              <w:right w:val="single" w:color="000000" w:sz="8" w:space="0"/>
            </w:tcBorders>
            <w:shd w:val="clear" w:color="auto" w:fill="D7D7D7" w:themeFill="background1" w:themeFillShade="D8"/>
            <w:vAlign w:val="center"/>
          </w:tcPr>
          <w:p w14:paraId="6A7015CF">
            <w:pPr>
              <w:spacing w:line="240" w:lineRule="auto"/>
              <w:ind w:firstLine="0" w:firstLineChars="0"/>
              <w:jc w:val="center"/>
              <w:textAlignment w:val="center"/>
              <w:rPr>
                <w:rFonts w:ascii="宋体" w:hAnsi="宋体" w:eastAsia="宋体" w:cs="宋体"/>
                <w:b/>
                <w:bCs/>
                <w:sz w:val="22"/>
              </w:rPr>
            </w:pPr>
            <w:r>
              <w:rPr>
                <w:rFonts w:hint="eastAsia" w:ascii="宋体" w:hAnsi="宋体" w:eastAsia="宋体" w:cs="宋体"/>
                <w:b/>
                <w:bCs/>
                <w:sz w:val="22"/>
                <w:lang w:bidi="ar"/>
              </w:rPr>
              <w:t>降雨模式调节服务</w:t>
            </w:r>
          </w:p>
        </w:tc>
      </w:tr>
      <w:tr w14:paraId="2E4C5B21">
        <w:tblPrEx>
          <w:tblCellMar>
            <w:top w:w="0" w:type="dxa"/>
            <w:left w:w="108" w:type="dxa"/>
            <w:bottom w:w="0" w:type="dxa"/>
            <w:right w:w="108" w:type="dxa"/>
          </w:tblCellMar>
        </w:tblPrEx>
        <w:trPr>
          <w:trHeight w:val="454" w:hRule="atLeast"/>
        </w:trPr>
        <w:tc>
          <w:tcPr>
            <w:tcW w:w="665" w:type="pct"/>
            <w:vMerge w:val="restart"/>
            <w:tcBorders>
              <w:top w:val="single" w:color="000000" w:sz="4" w:space="0"/>
              <w:left w:val="single" w:color="000000" w:sz="8" w:space="0"/>
              <w:right w:val="single" w:color="000000" w:sz="4" w:space="0"/>
            </w:tcBorders>
            <w:noWrap/>
            <w:vAlign w:val="center"/>
          </w:tcPr>
          <w:p w14:paraId="5D97003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电力、热力、燃气及水生产和供应业</w:t>
            </w: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693AB3D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D4416-太阳能发电</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31C9B25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408E5D4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598914B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6CC098D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2395A2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05E5A20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1BC3F94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70AD47"/>
            <w:noWrap/>
            <w:vAlign w:val="center"/>
          </w:tcPr>
          <w:p w14:paraId="59D0C6E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11D7A7A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A7FAEA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70AD47"/>
            <w:noWrap/>
            <w:vAlign w:val="center"/>
          </w:tcPr>
          <w:p w14:paraId="372D7D1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271" w:type="pct"/>
            <w:tcBorders>
              <w:top w:val="single" w:color="000000" w:sz="4" w:space="0"/>
              <w:left w:val="single" w:color="000000" w:sz="4" w:space="0"/>
              <w:bottom w:val="single" w:color="000000" w:sz="4" w:space="0"/>
              <w:right w:val="single" w:color="000000" w:sz="8" w:space="0"/>
            </w:tcBorders>
            <w:noWrap/>
            <w:vAlign w:val="center"/>
          </w:tcPr>
          <w:p w14:paraId="20EC5DB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7AFD5691">
        <w:tblPrEx>
          <w:tblCellMar>
            <w:top w:w="0" w:type="dxa"/>
            <w:left w:w="108" w:type="dxa"/>
            <w:bottom w:w="0" w:type="dxa"/>
            <w:right w:w="108" w:type="dxa"/>
          </w:tblCellMar>
        </w:tblPrEx>
        <w:trPr>
          <w:trHeight w:val="454" w:hRule="atLeast"/>
        </w:trPr>
        <w:tc>
          <w:tcPr>
            <w:tcW w:w="665" w:type="pct"/>
            <w:vMerge w:val="continue"/>
            <w:tcBorders>
              <w:left w:val="single" w:color="000000" w:sz="8" w:space="0"/>
              <w:right w:val="single" w:color="000000" w:sz="4" w:space="0"/>
            </w:tcBorders>
            <w:noWrap/>
            <w:vAlign w:val="center"/>
          </w:tcPr>
          <w:p w14:paraId="0385A1D8">
            <w:pPr>
              <w:spacing w:line="240" w:lineRule="auto"/>
              <w:ind w:firstLine="0" w:firstLineChars="0"/>
              <w:jc w:val="center"/>
              <w:rPr>
                <w:rFonts w:eastAsia="宋体" w:cs="Times New Roman"/>
                <w:color w:val="000000"/>
                <w:sz w:val="22"/>
              </w:rPr>
            </w:pP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3C34BCA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D4420-电力供应</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035D889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09C58F9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6FA5DA5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0602B14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3472DDD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2CA4DF5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7C79466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70AD47"/>
            <w:noWrap/>
            <w:vAlign w:val="center"/>
          </w:tcPr>
          <w:p w14:paraId="41EAD64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29663BA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5E20A3A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70AD47"/>
            <w:noWrap/>
            <w:vAlign w:val="center"/>
          </w:tcPr>
          <w:p w14:paraId="7FF5B29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271" w:type="pct"/>
            <w:tcBorders>
              <w:top w:val="single" w:color="000000" w:sz="4" w:space="0"/>
              <w:left w:val="single" w:color="000000" w:sz="4" w:space="0"/>
              <w:bottom w:val="single" w:color="000000" w:sz="4" w:space="0"/>
              <w:right w:val="single" w:color="000000" w:sz="8" w:space="0"/>
            </w:tcBorders>
            <w:noWrap/>
            <w:vAlign w:val="center"/>
          </w:tcPr>
          <w:p w14:paraId="6BFE4DA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7CD99E2C">
        <w:tblPrEx>
          <w:tblCellMar>
            <w:top w:w="0" w:type="dxa"/>
            <w:left w:w="108" w:type="dxa"/>
            <w:bottom w:w="0" w:type="dxa"/>
            <w:right w:w="108" w:type="dxa"/>
          </w:tblCellMar>
        </w:tblPrEx>
        <w:trPr>
          <w:trHeight w:val="454" w:hRule="atLeast"/>
        </w:trPr>
        <w:tc>
          <w:tcPr>
            <w:tcW w:w="665" w:type="pct"/>
            <w:vMerge w:val="continue"/>
            <w:tcBorders>
              <w:left w:val="single" w:color="000000" w:sz="8" w:space="0"/>
              <w:bottom w:val="single" w:color="000000" w:sz="4" w:space="0"/>
              <w:right w:val="single" w:color="000000" w:sz="4" w:space="0"/>
            </w:tcBorders>
            <w:noWrap/>
            <w:vAlign w:val="center"/>
          </w:tcPr>
          <w:p w14:paraId="5CAF5A4D">
            <w:pPr>
              <w:spacing w:line="240" w:lineRule="auto"/>
              <w:ind w:firstLine="0" w:firstLineChars="0"/>
              <w:jc w:val="center"/>
              <w:rPr>
                <w:rFonts w:eastAsia="宋体" w:cs="Times New Roman"/>
                <w:color w:val="000000"/>
                <w:sz w:val="22"/>
              </w:rPr>
            </w:pP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090DD68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D4620-污水处理及其再生利用</w:t>
            </w:r>
          </w:p>
        </w:tc>
        <w:tc>
          <w:tcPr>
            <w:tcW w:w="266" w:type="pct"/>
            <w:tcBorders>
              <w:top w:val="single" w:color="000000" w:sz="4" w:space="0"/>
              <w:left w:val="single" w:color="000000" w:sz="4" w:space="0"/>
              <w:bottom w:val="single" w:color="000000" w:sz="4" w:space="0"/>
              <w:right w:val="single" w:color="000000" w:sz="4" w:space="0"/>
            </w:tcBorders>
            <w:shd w:val="clear" w:color="auto" w:fill="548235"/>
            <w:noWrap/>
            <w:vAlign w:val="center"/>
          </w:tcPr>
          <w:p w14:paraId="243944B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31924F0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4838AF4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69A3DCC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0A53F28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70AD47"/>
            <w:noWrap/>
            <w:vAlign w:val="center"/>
          </w:tcPr>
          <w:p w14:paraId="4844043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0623B0E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296C188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080B81F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70AD47"/>
            <w:noWrap/>
            <w:vAlign w:val="center"/>
          </w:tcPr>
          <w:p w14:paraId="2C2AD8D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266" w:type="pct"/>
            <w:tcBorders>
              <w:top w:val="single" w:color="000000" w:sz="4" w:space="0"/>
              <w:left w:val="single" w:color="000000" w:sz="4" w:space="0"/>
              <w:bottom w:val="single" w:color="000000" w:sz="4" w:space="0"/>
              <w:right w:val="single" w:color="000000" w:sz="4" w:space="0"/>
            </w:tcBorders>
            <w:shd w:val="clear" w:color="auto" w:fill="70AD47"/>
            <w:noWrap/>
            <w:vAlign w:val="center"/>
          </w:tcPr>
          <w:p w14:paraId="74BC5CD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271" w:type="pct"/>
            <w:tcBorders>
              <w:top w:val="single" w:color="000000" w:sz="4" w:space="0"/>
              <w:left w:val="single" w:color="000000" w:sz="4" w:space="0"/>
              <w:bottom w:val="single" w:color="000000" w:sz="4" w:space="0"/>
              <w:right w:val="single" w:color="000000" w:sz="8" w:space="0"/>
            </w:tcBorders>
            <w:shd w:val="clear" w:color="auto" w:fill="A9D08E"/>
            <w:noWrap/>
            <w:vAlign w:val="center"/>
          </w:tcPr>
          <w:p w14:paraId="779F63C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r>
      <w:tr w14:paraId="6DE3610A">
        <w:tblPrEx>
          <w:tblCellMar>
            <w:top w:w="0" w:type="dxa"/>
            <w:left w:w="108" w:type="dxa"/>
            <w:bottom w:w="0" w:type="dxa"/>
            <w:right w:w="108" w:type="dxa"/>
          </w:tblCellMar>
        </w:tblPrEx>
        <w:trPr>
          <w:trHeight w:val="454" w:hRule="atLeast"/>
        </w:trPr>
        <w:tc>
          <w:tcPr>
            <w:tcW w:w="665" w:type="pct"/>
            <w:tcBorders>
              <w:top w:val="single" w:color="000000" w:sz="4" w:space="0"/>
              <w:left w:val="single" w:color="000000" w:sz="8" w:space="0"/>
              <w:bottom w:val="single" w:color="000000" w:sz="4" w:space="0"/>
              <w:right w:val="single" w:color="000000" w:sz="4" w:space="0"/>
            </w:tcBorders>
            <w:noWrap/>
            <w:vAlign w:val="center"/>
          </w:tcPr>
          <w:p w14:paraId="4B0C382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rPr>
              <w:t>建筑业</w:t>
            </w: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7D551CA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E4710-住宅房屋建筑</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1AE867D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70AD47"/>
            <w:noWrap/>
            <w:vAlign w:val="center"/>
          </w:tcPr>
          <w:p w14:paraId="1A21C25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07889CA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069012B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552460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79CC0EC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1FFE220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6C93AD2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12523A2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37A2469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7318495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71" w:type="pct"/>
            <w:tcBorders>
              <w:top w:val="single" w:color="000000" w:sz="4" w:space="0"/>
              <w:left w:val="single" w:color="000000" w:sz="4" w:space="0"/>
              <w:bottom w:val="single" w:color="000000" w:sz="4" w:space="0"/>
              <w:right w:val="single" w:color="000000" w:sz="8" w:space="0"/>
            </w:tcBorders>
            <w:shd w:val="clear" w:color="auto" w:fill="548235"/>
            <w:noWrap/>
            <w:vAlign w:val="center"/>
          </w:tcPr>
          <w:p w14:paraId="18C9D1E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r>
      <w:tr w14:paraId="7DAF5D6A">
        <w:tblPrEx>
          <w:tblCellMar>
            <w:top w:w="0" w:type="dxa"/>
            <w:left w:w="108" w:type="dxa"/>
            <w:bottom w:w="0" w:type="dxa"/>
            <w:right w:w="108" w:type="dxa"/>
          </w:tblCellMar>
        </w:tblPrEx>
        <w:trPr>
          <w:trHeight w:val="454" w:hRule="atLeast"/>
        </w:trPr>
        <w:tc>
          <w:tcPr>
            <w:tcW w:w="665" w:type="pct"/>
            <w:vMerge w:val="restart"/>
            <w:tcBorders>
              <w:top w:val="single" w:color="000000" w:sz="4" w:space="0"/>
              <w:left w:val="single" w:color="000000" w:sz="8" w:space="0"/>
              <w:bottom w:val="single" w:color="000000" w:sz="4" w:space="0"/>
              <w:right w:val="single" w:color="000000" w:sz="4" w:space="0"/>
            </w:tcBorders>
            <w:noWrap/>
            <w:vAlign w:val="center"/>
          </w:tcPr>
          <w:p w14:paraId="3E9000E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交通运输、仓储和邮政业</w:t>
            </w: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6509873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G5431-普通货物道路运输</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42DAE2C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D667B7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1AD08B0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0FCFD2A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59393C6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1F1A0AB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4A78172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1AF9463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664CBB1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2AB14C8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ECD68F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71" w:type="pct"/>
            <w:tcBorders>
              <w:top w:val="single" w:color="000000" w:sz="4" w:space="0"/>
              <w:left w:val="single" w:color="000000" w:sz="4" w:space="0"/>
              <w:bottom w:val="single" w:color="000000" w:sz="4" w:space="0"/>
              <w:right w:val="single" w:color="000000" w:sz="8" w:space="0"/>
            </w:tcBorders>
            <w:shd w:val="clear" w:color="auto" w:fill="A9D08E"/>
            <w:noWrap/>
            <w:vAlign w:val="center"/>
          </w:tcPr>
          <w:p w14:paraId="095A660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r>
      <w:tr w14:paraId="1CF12181">
        <w:tblPrEx>
          <w:tblCellMar>
            <w:top w:w="0" w:type="dxa"/>
            <w:left w:w="108" w:type="dxa"/>
            <w:bottom w:w="0" w:type="dxa"/>
            <w:right w:w="108" w:type="dxa"/>
          </w:tblCellMar>
        </w:tblPrEx>
        <w:trPr>
          <w:trHeight w:val="454" w:hRule="atLeast"/>
        </w:trPr>
        <w:tc>
          <w:tcPr>
            <w:tcW w:w="665" w:type="pct"/>
            <w:vMerge w:val="continue"/>
            <w:tcBorders>
              <w:top w:val="single" w:color="000000" w:sz="4" w:space="0"/>
              <w:left w:val="single" w:color="000000" w:sz="8" w:space="0"/>
              <w:bottom w:val="single" w:color="000000" w:sz="4" w:space="0"/>
              <w:right w:val="single" w:color="000000" w:sz="4" w:space="0"/>
            </w:tcBorders>
            <w:noWrap/>
            <w:vAlign w:val="center"/>
          </w:tcPr>
          <w:p w14:paraId="6E6244DC">
            <w:pPr>
              <w:spacing w:line="240" w:lineRule="auto"/>
              <w:ind w:firstLine="0" w:firstLineChars="0"/>
              <w:jc w:val="center"/>
              <w:rPr>
                <w:rFonts w:eastAsia="宋体" w:cs="Times New Roman"/>
                <w:color w:val="000000"/>
                <w:sz w:val="22"/>
              </w:rPr>
            </w:pP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336EE91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G5439-其他道路货物运输</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0880255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62FDD6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503E996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11B50B9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60DB781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03F3B88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2750109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7948A92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188A2B5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0AE7134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506C72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71" w:type="pct"/>
            <w:tcBorders>
              <w:top w:val="single" w:color="000000" w:sz="4" w:space="0"/>
              <w:left w:val="single" w:color="000000" w:sz="4" w:space="0"/>
              <w:bottom w:val="single" w:color="000000" w:sz="4" w:space="0"/>
              <w:right w:val="single" w:color="000000" w:sz="8" w:space="0"/>
            </w:tcBorders>
            <w:shd w:val="clear" w:color="auto" w:fill="A9D08E"/>
            <w:noWrap/>
            <w:vAlign w:val="center"/>
          </w:tcPr>
          <w:p w14:paraId="0A4CEED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r>
      <w:tr w14:paraId="184510EA">
        <w:tblPrEx>
          <w:tblCellMar>
            <w:top w:w="0" w:type="dxa"/>
            <w:left w:w="108" w:type="dxa"/>
            <w:bottom w:w="0" w:type="dxa"/>
            <w:right w:w="108" w:type="dxa"/>
          </w:tblCellMar>
        </w:tblPrEx>
        <w:trPr>
          <w:trHeight w:val="454" w:hRule="atLeast"/>
        </w:trPr>
        <w:tc>
          <w:tcPr>
            <w:tcW w:w="665" w:type="pct"/>
            <w:vMerge w:val="restart"/>
            <w:tcBorders>
              <w:top w:val="single" w:color="000000" w:sz="4" w:space="0"/>
              <w:left w:val="single" w:color="000000" w:sz="8" w:space="0"/>
              <w:right w:val="single" w:color="000000" w:sz="4" w:space="0"/>
            </w:tcBorders>
            <w:noWrap/>
            <w:vAlign w:val="center"/>
          </w:tcPr>
          <w:p w14:paraId="705F59F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科学研究和技术服务业</w:t>
            </w: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69453D8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M7514-节能技术推广服务</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0328E28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57C2001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C8C511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271AB17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0461262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A08C86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0AF2694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66A5BE7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60A4CC5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D15AB6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5B9EAFA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71" w:type="pct"/>
            <w:tcBorders>
              <w:top w:val="single" w:color="000000" w:sz="4" w:space="0"/>
              <w:left w:val="single" w:color="000000" w:sz="4" w:space="0"/>
              <w:bottom w:val="single" w:color="000000" w:sz="4" w:space="0"/>
              <w:right w:val="single" w:color="000000" w:sz="8" w:space="0"/>
            </w:tcBorders>
            <w:noWrap/>
            <w:vAlign w:val="center"/>
          </w:tcPr>
          <w:p w14:paraId="0ECFBD4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3BD5DDCA">
        <w:tblPrEx>
          <w:tblCellMar>
            <w:top w:w="0" w:type="dxa"/>
            <w:left w:w="108" w:type="dxa"/>
            <w:bottom w:w="0" w:type="dxa"/>
            <w:right w:w="108" w:type="dxa"/>
          </w:tblCellMar>
        </w:tblPrEx>
        <w:trPr>
          <w:trHeight w:val="454" w:hRule="atLeast"/>
        </w:trPr>
        <w:tc>
          <w:tcPr>
            <w:tcW w:w="665" w:type="pct"/>
            <w:vMerge w:val="continue"/>
            <w:tcBorders>
              <w:left w:val="single" w:color="000000" w:sz="8" w:space="0"/>
              <w:bottom w:val="single" w:color="000000" w:sz="4" w:space="0"/>
              <w:right w:val="single" w:color="000000" w:sz="4" w:space="0"/>
            </w:tcBorders>
            <w:noWrap/>
            <w:vAlign w:val="center"/>
          </w:tcPr>
          <w:p w14:paraId="48B24818">
            <w:pPr>
              <w:spacing w:line="240" w:lineRule="auto"/>
              <w:ind w:firstLine="0" w:firstLineChars="0"/>
              <w:jc w:val="center"/>
              <w:rPr>
                <w:rFonts w:eastAsia="宋体" w:cs="Times New Roman"/>
                <w:color w:val="000000"/>
                <w:sz w:val="22"/>
              </w:rPr>
            </w:pP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7B9FA48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M7515-新能源技术推广服务</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6CCAF88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64C25D1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0BE52FA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6E20545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71D0AC9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1F4BC04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1218817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2FAB3C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5D11496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2B5CD7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13C0996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71" w:type="pct"/>
            <w:tcBorders>
              <w:top w:val="single" w:color="000000" w:sz="4" w:space="0"/>
              <w:left w:val="single" w:color="000000" w:sz="4" w:space="0"/>
              <w:bottom w:val="single" w:color="000000" w:sz="4" w:space="0"/>
              <w:right w:val="single" w:color="000000" w:sz="8" w:space="0"/>
            </w:tcBorders>
            <w:noWrap/>
            <w:vAlign w:val="center"/>
          </w:tcPr>
          <w:p w14:paraId="566F477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17599C32">
        <w:tblPrEx>
          <w:tblCellMar>
            <w:top w:w="0" w:type="dxa"/>
            <w:left w:w="108" w:type="dxa"/>
            <w:bottom w:w="0" w:type="dxa"/>
            <w:right w:w="108" w:type="dxa"/>
          </w:tblCellMar>
        </w:tblPrEx>
        <w:trPr>
          <w:trHeight w:val="454" w:hRule="atLeast"/>
        </w:trPr>
        <w:tc>
          <w:tcPr>
            <w:tcW w:w="665" w:type="pct"/>
            <w:tcBorders>
              <w:top w:val="single" w:color="000000" w:sz="4" w:space="0"/>
              <w:left w:val="single" w:color="000000" w:sz="8" w:space="0"/>
              <w:bottom w:val="single" w:color="000000" w:sz="4" w:space="0"/>
              <w:right w:val="single" w:color="000000" w:sz="4" w:space="0"/>
            </w:tcBorders>
            <w:noWrap/>
            <w:vAlign w:val="center"/>
          </w:tcPr>
          <w:p w14:paraId="57CB8B95">
            <w:pPr>
              <w:spacing w:line="240" w:lineRule="auto"/>
              <w:ind w:firstLine="0" w:firstLineChars="0"/>
              <w:jc w:val="center"/>
              <w:rPr>
                <w:rFonts w:eastAsia="宋体" w:cs="Times New Roman"/>
                <w:color w:val="000000"/>
                <w:sz w:val="22"/>
              </w:rPr>
            </w:pPr>
            <w:r>
              <w:rPr>
                <w:rFonts w:eastAsia="宋体" w:cs="Times New Roman"/>
                <w:color w:val="000000"/>
                <w:sz w:val="22"/>
              </w:rPr>
              <w:t>水利、环境和公共设施管理业</w:t>
            </w: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64421EE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N7724-危险废物治理</w:t>
            </w:r>
          </w:p>
        </w:tc>
        <w:tc>
          <w:tcPr>
            <w:tcW w:w="266" w:type="pct"/>
            <w:tcBorders>
              <w:top w:val="single" w:color="000000" w:sz="4" w:space="0"/>
              <w:left w:val="single" w:color="000000" w:sz="4" w:space="0"/>
              <w:bottom w:val="single" w:color="000000" w:sz="4" w:space="0"/>
              <w:right w:val="single" w:color="000000" w:sz="4" w:space="0"/>
            </w:tcBorders>
            <w:shd w:val="clear" w:color="auto" w:fill="548235"/>
            <w:noWrap/>
            <w:vAlign w:val="center"/>
          </w:tcPr>
          <w:p w14:paraId="32C2F2F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2E29153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258A752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67AAE0D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260F910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9E88E9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36A8C30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4E39D21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10A25B6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0B3FEC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5B5CB24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71" w:type="pct"/>
            <w:tcBorders>
              <w:top w:val="single" w:color="000000" w:sz="4" w:space="0"/>
              <w:left w:val="single" w:color="000000" w:sz="4" w:space="0"/>
              <w:bottom w:val="single" w:color="000000" w:sz="4" w:space="0"/>
              <w:right w:val="single" w:color="000000" w:sz="8" w:space="0"/>
            </w:tcBorders>
            <w:shd w:val="clear" w:color="auto" w:fill="A9D08E"/>
            <w:noWrap/>
            <w:vAlign w:val="center"/>
          </w:tcPr>
          <w:p w14:paraId="4E495EE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r>
      <w:tr w14:paraId="2628B6B7">
        <w:tblPrEx>
          <w:tblCellMar>
            <w:top w:w="0" w:type="dxa"/>
            <w:left w:w="108" w:type="dxa"/>
            <w:bottom w:w="0" w:type="dxa"/>
            <w:right w:w="108" w:type="dxa"/>
          </w:tblCellMar>
        </w:tblPrEx>
        <w:trPr>
          <w:trHeight w:val="454" w:hRule="atLeast"/>
        </w:trPr>
        <w:tc>
          <w:tcPr>
            <w:tcW w:w="665" w:type="pct"/>
            <w:vMerge w:val="restart"/>
            <w:tcBorders>
              <w:top w:val="single" w:color="000000" w:sz="4" w:space="0"/>
              <w:left w:val="single" w:color="000000" w:sz="8" w:space="0"/>
              <w:right w:val="single" w:color="000000" w:sz="4" w:space="0"/>
            </w:tcBorders>
            <w:noWrap/>
            <w:vAlign w:val="center"/>
          </w:tcPr>
          <w:p w14:paraId="603ECACC">
            <w:pPr>
              <w:spacing w:line="240" w:lineRule="auto"/>
              <w:ind w:firstLine="0" w:firstLineChars="0"/>
              <w:jc w:val="center"/>
              <w:rPr>
                <w:rFonts w:eastAsia="宋体" w:cs="Times New Roman"/>
                <w:color w:val="000000"/>
                <w:sz w:val="22"/>
              </w:rPr>
            </w:pPr>
            <w:r>
              <w:rPr>
                <w:rFonts w:eastAsia="宋体" w:cs="Times New Roman"/>
                <w:color w:val="000000"/>
                <w:sz w:val="22"/>
              </w:rPr>
              <w:t>制造业</w:t>
            </w: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029112F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C2624-复混肥料制造</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0BE39E4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6AB8ACF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5E4F380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608B390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390F9A4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3C900DC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3FB2042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6874463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10031EE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4C6EAFB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099451C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71" w:type="pct"/>
            <w:tcBorders>
              <w:top w:val="single" w:color="000000" w:sz="4" w:space="0"/>
              <w:left w:val="single" w:color="000000" w:sz="4" w:space="0"/>
              <w:bottom w:val="single" w:color="000000" w:sz="4" w:space="0"/>
              <w:right w:val="single" w:color="000000" w:sz="8" w:space="0"/>
            </w:tcBorders>
            <w:shd w:val="clear" w:color="auto" w:fill="E2EFDA"/>
            <w:noWrap/>
            <w:vAlign w:val="center"/>
          </w:tcPr>
          <w:p w14:paraId="1138246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r>
      <w:tr w14:paraId="1D6F27F8">
        <w:tblPrEx>
          <w:tblCellMar>
            <w:top w:w="0" w:type="dxa"/>
            <w:left w:w="108" w:type="dxa"/>
            <w:bottom w:w="0" w:type="dxa"/>
            <w:right w:w="108" w:type="dxa"/>
          </w:tblCellMar>
        </w:tblPrEx>
        <w:trPr>
          <w:trHeight w:val="454" w:hRule="atLeast"/>
        </w:trPr>
        <w:tc>
          <w:tcPr>
            <w:tcW w:w="665" w:type="pct"/>
            <w:vMerge w:val="continue"/>
            <w:tcBorders>
              <w:left w:val="single" w:color="000000" w:sz="8" w:space="0"/>
              <w:right w:val="single" w:color="000000" w:sz="4" w:space="0"/>
            </w:tcBorders>
            <w:noWrap/>
            <w:vAlign w:val="center"/>
          </w:tcPr>
          <w:p w14:paraId="733A70C7">
            <w:pPr>
              <w:spacing w:line="240" w:lineRule="auto"/>
              <w:ind w:firstLine="0" w:firstLineChars="0"/>
              <w:jc w:val="center"/>
              <w:rPr>
                <w:rFonts w:eastAsia="宋体" w:cs="Times New Roman"/>
                <w:color w:val="000000"/>
                <w:sz w:val="22"/>
              </w:rPr>
            </w:pP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2D07374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C2625-有机肥料及微生物肥料制造</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0CB295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2F9334D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56C3578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6424F51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6EE6F10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234710F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23ADE7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4E11C73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F044A2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0801E23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185C4CD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71" w:type="pct"/>
            <w:tcBorders>
              <w:top w:val="single" w:color="000000" w:sz="4" w:space="0"/>
              <w:left w:val="single" w:color="000000" w:sz="4" w:space="0"/>
              <w:bottom w:val="single" w:color="000000" w:sz="4" w:space="0"/>
              <w:right w:val="single" w:color="000000" w:sz="8" w:space="0"/>
            </w:tcBorders>
            <w:shd w:val="clear" w:color="auto" w:fill="E2EFDA"/>
            <w:noWrap/>
            <w:vAlign w:val="center"/>
          </w:tcPr>
          <w:p w14:paraId="4AA430F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r>
      <w:tr w14:paraId="328833DE">
        <w:tblPrEx>
          <w:tblCellMar>
            <w:top w:w="0" w:type="dxa"/>
            <w:left w:w="108" w:type="dxa"/>
            <w:bottom w:w="0" w:type="dxa"/>
            <w:right w:w="108" w:type="dxa"/>
          </w:tblCellMar>
        </w:tblPrEx>
        <w:trPr>
          <w:trHeight w:val="454" w:hRule="atLeast"/>
        </w:trPr>
        <w:tc>
          <w:tcPr>
            <w:tcW w:w="665" w:type="pct"/>
            <w:vMerge w:val="continue"/>
            <w:tcBorders>
              <w:left w:val="single" w:color="000000" w:sz="8" w:space="0"/>
              <w:right w:val="single" w:color="000000" w:sz="4" w:space="0"/>
            </w:tcBorders>
            <w:noWrap/>
            <w:vAlign w:val="center"/>
          </w:tcPr>
          <w:p w14:paraId="7E274C88">
            <w:pPr>
              <w:spacing w:line="240" w:lineRule="auto"/>
              <w:ind w:firstLine="0" w:firstLineChars="0"/>
              <w:jc w:val="center"/>
              <w:rPr>
                <w:rFonts w:eastAsia="宋体" w:cs="Times New Roman"/>
                <w:color w:val="000000"/>
                <w:sz w:val="22"/>
              </w:rPr>
            </w:pP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542A6A3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C3441-泵及真空设备制造</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630E41D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12713BE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3D121CA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427EA97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3BA9D90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56994DD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BDDB16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4C78F2C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7E7B539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7073AE6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7818B6B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71" w:type="pct"/>
            <w:tcBorders>
              <w:top w:val="single" w:color="000000" w:sz="4" w:space="0"/>
              <w:left w:val="single" w:color="000000" w:sz="4" w:space="0"/>
              <w:bottom w:val="single" w:color="000000" w:sz="4" w:space="0"/>
              <w:right w:val="single" w:color="000000" w:sz="8" w:space="0"/>
            </w:tcBorders>
            <w:shd w:val="clear" w:color="auto" w:fill="E2EFDA"/>
            <w:noWrap/>
            <w:vAlign w:val="center"/>
          </w:tcPr>
          <w:p w14:paraId="4DA6EBD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r>
      <w:tr w14:paraId="7D18ECB5">
        <w:tblPrEx>
          <w:tblCellMar>
            <w:top w:w="0" w:type="dxa"/>
            <w:left w:w="108" w:type="dxa"/>
            <w:bottom w:w="0" w:type="dxa"/>
            <w:right w:w="108" w:type="dxa"/>
          </w:tblCellMar>
        </w:tblPrEx>
        <w:trPr>
          <w:trHeight w:val="454" w:hRule="atLeast"/>
        </w:trPr>
        <w:tc>
          <w:tcPr>
            <w:tcW w:w="665" w:type="pct"/>
            <w:vMerge w:val="continue"/>
            <w:tcBorders>
              <w:left w:val="single" w:color="000000" w:sz="8" w:space="0"/>
              <w:right w:val="single" w:color="000000" w:sz="4" w:space="0"/>
            </w:tcBorders>
            <w:noWrap/>
            <w:vAlign w:val="center"/>
          </w:tcPr>
          <w:p w14:paraId="39FDB400">
            <w:pPr>
              <w:spacing w:line="240" w:lineRule="auto"/>
              <w:ind w:firstLine="0" w:firstLineChars="0"/>
              <w:jc w:val="center"/>
              <w:rPr>
                <w:rFonts w:eastAsia="宋体" w:cs="Times New Roman"/>
                <w:color w:val="000000"/>
                <w:sz w:val="22"/>
              </w:rPr>
            </w:pP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1A586FA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C3825-光伏设备及元器件制造</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4D084AE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7A05024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7F67475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0299E2D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5D57015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0AB2FD0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5987026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4BFF141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2BA4C0C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187C01E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589987F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71" w:type="pct"/>
            <w:tcBorders>
              <w:top w:val="single" w:color="000000" w:sz="4" w:space="0"/>
              <w:left w:val="single" w:color="000000" w:sz="4" w:space="0"/>
              <w:bottom w:val="single" w:color="000000" w:sz="4" w:space="0"/>
              <w:right w:val="single" w:color="000000" w:sz="8" w:space="0"/>
            </w:tcBorders>
            <w:shd w:val="clear" w:color="auto" w:fill="E2EFDA"/>
            <w:noWrap/>
            <w:vAlign w:val="center"/>
          </w:tcPr>
          <w:p w14:paraId="59E72F7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r>
      <w:tr w14:paraId="68739E88">
        <w:tblPrEx>
          <w:tblCellMar>
            <w:top w:w="0" w:type="dxa"/>
            <w:left w:w="108" w:type="dxa"/>
            <w:bottom w:w="0" w:type="dxa"/>
            <w:right w:w="108" w:type="dxa"/>
          </w:tblCellMar>
        </w:tblPrEx>
        <w:trPr>
          <w:trHeight w:val="454" w:hRule="atLeast"/>
        </w:trPr>
        <w:tc>
          <w:tcPr>
            <w:tcW w:w="665" w:type="pct"/>
            <w:vMerge w:val="continue"/>
            <w:tcBorders>
              <w:left w:val="single" w:color="000000" w:sz="8" w:space="0"/>
              <w:bottom w:val="single" w:color="000000" w:sz="4" w:space="0"/>
              <w:right w:val="single" w:color="000000" w:sz="4" w:space="0"/>
            </w:tcBorders>
            <w:noWrap/>
            <w:vAlign w:val="center"/>
          </w:tcPr>
          <w:p w14:paraId="19D2E747">
            <w:pPr>
              <w:spacing w:line="240" w:lineRule="auto"/>
              <w:ind w:firstLine="0" w:firstLineChars="0"/>
              <w:jc w:val="center"/>
              <w:rPr>
                <w:rFonts w:eastAsia="宋体" w:cs="Times New Roman"/>
                <w:color w:val="000000"/>
                <w:sz w:val="22"/>
              </w:rPr>
            </w:pPr>
          </w:p>
        </w:tc>
        <w:tc>
          <w:tcPr>
            <w:tcW w:w="1135" w:type="pct"/>
            <w:tcBorders>
              <w:top w:val="single" w:color="000000" w:sz="4" w:space="0"/>
              <w:left w:val="single" w:color="000000" w:sz="4" w:space="0"/>
              <w:bottom w:val="single" w:color="000000" w:sz="4" w:space="0"/>
              <w:right w:val="single" w:color="000000" w:sz="4" w:space="0"/>
            </w:tcBorders>
            <w:noWrap/>
            <w:vAlign w:val="center"/>
          </w:tcPr>
          <w:p w14:paraId="3C3498A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C4220-非金属废料和碎屑加工处理</w:t>
            </w:r>
          </w:p>
        </w:tc>
        <w:tc>
          <w:tcPr>
            <w:tcW w:w="266" w:type="pct"/>
            <w:tcBorders>
              <w:top w:val="single" w:color="000000" w:sz="4" w:space="0"/>
              <w:left w:val="single" w:color="000000" w:sz="4" w:space="0"/>
              <w:bottom w:val="single" w:color="000000" w:sz="4" w:space="0"/>
              <w:right w:val="single" w:color="000000" w:sz="4" w:space="0"/>
            </w:tcBorders>
            <w:shd w:val="clear" w:color="auto" w:fill="70AD47"/>
            <w:noWrap/>
            <w:vAlign w:val="center"/>
          </w:tcPr>
          <w:p w14:paraId="2251394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55F9AA6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noWrap/>
            <w:vAlign w:val="center"/>
          </w:tcPr>
          <w:p w14:paraId="4D308C3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94D3F6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209F2C5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71AC80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48C989D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3B121A3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022B6BF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E2EFDA"/>
            <w:noWrap/>
            <w:vAlign w:val="center"/>
          </w:tcPr>
          <w:p w14:paraId="596ACD7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266"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14:paraId="3F9BD58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271" w:type="pct"/>
            <w:tcBorders>
              <w:top w:val="single" w:color="000000" w:sz="4" w:space="0"/>
              <w:left w:val="single" w:color="000000" w:sz="4" w:space="0"/>
              <w:bottom w:val="single" w:color="000000" w:sz="4" w:space="0"/>
              <w:right w:val="single" w:color="000000" w:sz="8" w:space="0"/>
            </w:tcBorders>
            <w:shd w:val="clear" w:color="auto" w:fill="A9D08E"/>
            <w:noWrap/>
            <w:vAlign w:val="center"/>
          </w:tcPr>
          <w:p w14:paraId="6CAFB34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r>
    </w:tbl>
    <w:p w14:paraId="142A13B8">
      <w:pPr>
        <w:pStyle w:val="38"/>
        <w:ind w:firstLine="0" w:firstLineChars="0"/>
        <w:jc w:val="center"/>
        <w:rPr>
          <w:rFonts w:ascii="宋体" w:hAnsi="宋体" w:eastAsia="宋体" w:cs="宋体"/>
          <w:b/>
          <w:bCs/>
          <w:sz w:val="24"/>
          <w:szCs w:val="18"/>
        </w:rPr>
      </w:pPr>
    </w:p>
    <w:tbl>
      <w:tblPr>
        <w:tblStyle w:val="4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
        <w:gridCol w:w="903"/>
        <w:gridCol w:w="903"/>
        <w:gridCol w:w="903"/>
        <w:gridCol w:w="906"/>
      </w:tblGrid>
      <w:tr w14:paraId="0FB3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right"/>
        </w:trPr>
        <w:tc>
          <w:tcPr>
            <w:tcW w:w="903" w:type="dxa"/>
            <w:tcBorders>
              <w:top w:val="nil"/>
              <w:left w:val="nil"/>
              <w:bottom w:val="nil"/>
              <w:right w:val="nil"/>
            </w:tcBorders>
            <w:vAlign w:val="center"/>
          </w:tcPr>
          <w:p w14:paraId="227046F1">
            <w:pPr>
              <w:widowControl/>
              <w:ind w:firstLine="0" w:firstLineChars="0"/>
              <w:jc w:val="center"/>
              <w:rPr>
                <w:rFonts w:ascii="宋体" w:hAnsi="宋体" w:eastAsia="宋体" w:cs="宋体"/>
                <w:sz w:val="20"/>
                <w:szCs w:val="16"/>
              </w:rPr>
            </w:pPr>
            <w:r>
              <w:rPr>
                <w:rFonts w:eastAsia="宋体" w:cs="Times New Roman"/>
                <w:sz w:val="20"/>
                <w:szCs w:val="16"/>
              </w:rPr>
              <w:t>VH</w:t>
            </w:r>
          </w:p>
        </w:tc>
        <w:tc>
          <w:tcPr>
            <w:tcW w:w="903" w:type="dxa"/>
            <w:tcBorders>
              <w:top w:val="nil"/>
              <w:left w:val="nil"/>
              <w:bottom w:val="nil"/>
              <w:right w:val="nil"/>
            </w:tcBorders>
            <w:vAlign w:val="center"/>
          </w:tcPr>
          <w:p w14:paraId="1207DB4E">
            <w:pPr>
              <w:widowControl/>
              <w:ind w:firstLine="0" w:firstLineChars="0"/>
              <w:jc w:val="center"/>
              <w:rPr>
                <w:rFonts w:ascii="宋体" w:hAnsi="宋体" w:eastAsia="宋体" w:cs="宋体"/>
                <w:sz w:val="20"/>
                <w:szCs w:val="16"/>
              </w:rPr>
            </w:pPr>
            <w:r>
              <w:rPr>
                <w:rFonts w:eastAsia="宋体" w:cs="Times New Roman"/>
                <w:sz w:val="20"/>
                <w:szCs w:val="16"/>
              </w:rPr>
              <w:t>H</w:t>
            </w:r>
          </w:p>
        </w:tc>
        <w:tc>
          <w:tcPr>
            <w:tcW w:w="903" w:type="dxa"/>
            <w:tcBorders>
              <w:top w:val="nil"/>
              <w:left w:val="nil"/>
              <w:bottom w:val="nil"/>
              <w:right w:val="nil"/>
            </w:tcBorders>
            <w:vAlign w:val="center"/>
          </w:tcPr>
          <w:p w14:paraId="56710BF5">
            <w:pPr>
              <w:widowControl/>
              <w:ind w:firstLine="0" w:firstLineChars="0"/>
              <w:jc w:val="center"/>
              <w:rPr>
                <w:rFonts w:ascii="宋体" w:hAnsi="宋体" w:eastAsia="宋体" w:cs="宋体"/>
                <w:sz w:val="20"/>
                <w:szCs w:val="16"/>
              </w:rPr>
            </w:pPr>
            <w:r>
              <w:rPr>
                <w:rFonts w:eastAsia="宋体" w:cs="Times New Roman"/>
                <w:sz w:val="20"/>
                <w:szCs w:val="16"/>
              </w:rPr>
              <w:t>M</w:t>
            </w:r>
          </w:p>
        </w:tc>
        <w:tc>
          <w:tcPr>
            <w:tcW w:w="903" w:type="dxa"/>
            <w:tcBorders>
              <w:top w:val="nil"/>
              <w:left w:val="nil"/>
              <w:bottom w:val="nil"/>
              <w:right w:val="nil"/>
            </w:tcBorders>
            <w:vAlign w:val="center"/>
          </w:tcPr>
          <w:p w14:paraId="26FD9416">
            <w:pPr>
              <w:widowControl/>
              <w:ind w:firstLine="0" w:firstLineChars="0"/>
              <w:jc w:val="center"/>
              <w:rPr>
                <w:rFonts w:ascii="宋体" w:hAnsi="宋体" w:eastAsia="宋体" w:cs="宋体"/>
                <w:sz w:val="20"/>
                <w:szCs w:val="16"/>
              </w:rPr>
            </w:pPr>
            <w:r>
              <w:rPr>
                <w:rFonts w:eastAsia="宋体" w:cs="Times New Roman"/>
                <w:sz w:val="20"/>
                <w:szCs w:val="16"/>
              </w:rPr>
              <w:t>L</w:t>
            </w:r>
          </w:p>
        </w:tc>
        <w:tc>
          <w:tcPr>
            <w:tcW w:w="906" w:type="dxa"/>
            <w:tcBorders>
              <w:top w:val="nil"/>
              <w:left w:val="nil"/>
              <w:bottom w:val="nil"/>
              <w:right w:val="nil"/>
            </w:tcBorders>
            <w:vAlign w:val="center"/>
          </w:tcPr>
          <w:p w14:paraId="290A9F9B">
            <w:pPr>
              <w:widowControl/>
              <w:ind w:firstLine="0" w:firstLineChars="0"/>
              <w:jc w:val="center"/>
              <w:rPr>
                <w:rFonts w:ascii="宋体" w:hAnsi="宋体" w:eastAsia="宋体" w:cs="宋体"/>
                <w:sz w:val="20"/>
                <w:szCs w:val="16"/>
              </w:rPr>
            </w:pPr>
            <w:r>
              <w:rPr>
                <w:rFonts w:eastAsia="宋体" w:cs="Times New Roman"/>
                <w:sz w:val="20"/>
                <w:szCs w:val="16"/>
              </w:rPr>
              <w:t>VL</w:t>
            </w:r>
          </w:p>
        </w:tc>
      </w:tr>
      <w:tr w14:paraId="29E9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exact"/>
          <w:jc w:val="right"/>
        </w:trPr>
        <w:tc>
          <w:tcPr>
            <w:tcW w:w="903" w:type="dxa"/>
            <w:tcBorders>
              <w:top w:val="nil"/>
              <w:left w:val="nil"/>
              <w:bottom w:val="nil"/>
              <w:right w:val="nil"/>
            </w:tcBorders>
            <w:shd w:val="clear" w:color="auto" w:fill="538135" w:themeFill="accent6" w:themeFillShade="BF"/>
            <w:vAlign w:val="center"/>
          </w:tcPr>
          <w:p w14:paraId="5EA195F4">
            <w:pPr>
              <w:widowControl/>
              <w:ind w:firstLine="0" w:firstLineChars="0"/>
              <w:jc w:val="center"/>
              <w:rPr>
                <w:rFonts w:ascii="宋体" w:hAnsi="宋体" w:eastAsia="宋体" w:cs="宋体"/>
                <w:sz w:val="15"/>
                <w:szCs w:val="11"/>
              </w:rPr>
            </w:pPr>
          </w:p>
        </w:tc>
        <w:tc>
          <w:tcPr>
            <w:tcW w:w="903" w:type="dxa"/>
            <w:tcBorders>
              <w:top w:val="nil"/>
              <w:left w:val="nil"/>
              <w:bottom w:val="nil"/>
              <w:right w:val="nil"/>
            </w:tcBorders>
            <w:shd w:val="clear" w:color="auto" w:fill="70AD47" w:themeFill="accent6"/>
            <w:vAlign w:val="center"/>
          </w:tcPr>
          <w:p w14:paraId="6507C01A">
            <w:pPr>
              <w:widowControl/>
              <w:ind w:firstLine="0" w:firstLineChars="0"/>
              <w:jc w:val="center"/>
              <w:rPr>
                <w:rFonts w:ascii="宋体" w:hAnsi="宋体" w:eastAsia="宋体" w:cs="宋体"/>
                <w:sz w:val="15"/>
                <w:szCs w:val="11"/>
              </w:rPr>
            </w:pPr>
          </w:p>
        </w:tc>
        <w:tc>
          <w:tcPr>
            <w:tcW w:w="903" w:type="dxa"/>
            <w:tcBorders>
              <w:top w:val="nil"/>
              <w:left w:val="nil"/>
              <w:bottom w:val="nil"/>
              <w:right w:val="nil"/>
            </w:tcBorders>
            <w:shd w:val="clear" w:color="auto" w:fill="A8D08D" w:themeFill="accent6" w:themeFillTint="99"/>
            <w:vAlign w:val="center"/>
          </w:tcPr>
          <w:p w14:paraId="4DF043F6">
            <w:pPr>
              <w:widowControl/>
              <w:ind w:firstLine="0" w:firstLineChars="0"/>
              <w:jc w:val="center"/>
              <w:rPr>
                <w:rFonts w:ascii="宋体" w:hAnsi="宋体" w:eastAsia="宋体" w:cs="宋体"/>
                <w:sz w:val="15"/>
                <w:szCs w:val="11"/>
              </w:rPr>
            </w:pPr>
          </w:p>
        </w:tc>
        <w:tc>
          <w:tcPr>
            <w:tcW w:w="903" w:type="dxa"/>
            <w:tcBorders>
              <w:top w:val="nil"/>
              <w:left w:val="nil"/>
              <w:bottom w:val="nil"/>
              <w:right w:val="nil"/>
            </w:tcBorders>
            <w:shd w:val="clear" w:color="auto" w:fill="C5E0B3" w:themeFill="accent6" w:themeFillTint="66"/>
            <w:vAlign w:val="center"/>
          </w:tcPr>
          <w:p w14:paraId="06ADAC64">
            <w:pPr>
              <w:widowControl/>
              <w:ind w:firstLine="0" w:firstLineChars="0"/>
              <w:jc w:val="center"/>
              <w:rPr>
                <w:rFonts w:ascii="宋体" w:hAnsi="宋体" w:eastAsia="宋体" w:cs="宋体"/>
                <w:sz w:val="15"/>
                <w:szCs w:val="11"/>
              </w:rPr>
            </w:pPr>
          </w:p>
        </w:tc>
        <w:tc>
          <w:tcPr>
            <w:tcW w:w="906" w:type="dxa"/>
            <w:tcBorders>
              <w:top w:val="nil"/>
              <w:left w:val="nil"/>
              <w:bottom w:val="nil"/>
              <w:right w:val="nil"/>
            </w:tcBorders>
            <w:shd w:val="clear" w:color="auto" w:fill="E2EFDA" w:themeFill="accent6" w:themeFillTint="32"/>
            <w:vAlign w:val="center"/>
          </w:tcPr>
          <w:p w14:paraId="0777833B">
            <w:pPr>
              <w:widowControl/>
              <w:ind w:firstLine="0" w:firstLineChars="0"/>
              <w:jc w:val="center"/>
              <w:rPr>
                <w:rFonts w:ascii="宋体" w:hAnsi="宋体" w:eastAsia="宋体" w:cs="宋体"/>
                <w:sz w:val="15"/>
                <w:szCs w:val="11"/>
              </w:rPr>
            </w:pPr>
          </w:p>
        </w:tc>
      </w:tr>
      <w:tr w14:paraId="728B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exact"/>
          <w:jc w:val="right"/>
        </w:trPr>
        <w:tc>
          <w:tcPr>
            <w:tcW w:w="903" w:type="dxa"/>
            <w:tcBorders>
              <w:top w:val="nil"/>
              <w:left w:val="nil"/>
              <w:bottom w:val="nil"/>
              <w:right w:val="nil"/>
            </w:tcBorders>
            <w:vAlign w:val="center"/>
          </w:tcPr>
          <w:p w14:paraId="4E0E043C">
            <w:pPr>
              <w:widowControl/>
              <w:ind w:firstLine="0" w:firstLineChars="0"/>
              <w:jc w:val="center"/>
              <w:rPr>
                <w:rFonts w:ascii="宋体" w:hAnsi="宋体" w:eastAsia="宋体" w:cs="宋体"/>
                <w:sz w:val="20"/>
                <w:szCs w:val="20"/>
              </w:rPr>
            </w:pPr>
            <w:r>
              <w:rPr>
                <w:rFonts w:hint="eastAsia" w:ascii="宋体" w:hAnsi="宋体" w:eastAsia="宋体" w:cs="宋体"/>
                <w:sz w:val="20"/>
                <w:szCs w:val="20"/>
              </w:rPr>
              <w:t>非常高</w:t>
            </w:r>
          </w:p>
        </w:tc>
        <w:tc>
          <w:tcPr>
            <w:tcW w:w="903" w:type="dxa"/>
            <w:tcBorders>
              <w:top w:val="nil"/>
              <w:left w:val="nil"/>
              <w:bottom w:val="nil"/>
              <w:right w:val="nil"/>
            </w:tcBorders>
            <w:vAlign w:val="center"/>
          </w:tcPr>
          <w:p w14:paraId="3717BBD0">
            <w:pPr>
              <w:widowControl/>
              <w:ind w:firstLine="0" w:firstLineChars="0"/>
              <w:jc w:val="center"/>
              <w:rPr>
                <w:rFonts w:ascii="宋体" w:hAnsi="宋体" w:eastAsia="宋体" w:cs="宋体"/>
                <w:sz w:val="20"/>
                <w:szCs w:val="20"/>
              </w:rPr>
            </w:pPr>
            <w:r>
              <w:rPr>
                <w:rFonts w:hint="eastAsia" w:ascii="宋体" w:hAnsi="宋体" w:eastAsia="宋体" w:cs="宋体"/>
                <w:sz w:val="20"/>
                <w:szCs w:val="20"/>
              </w:rPr>
              <w:t>高</w:t>
            </w:r>
          </w:p>
        </w:tc>
        <w:tc>
          <w:tcPr>
            <w:tcW w:w="903" w:type="dxa"/>
            <w:tcBorders>
              <w:top w:val="nil"/>
              <w:left w:val="nil"/>
              <w:bottom w:val="nil"/>
              <w:right w:val="nil"/>
            </w:tcBorders>
            <w:vAlign w:val="center"/>
          </w:tcPr>
          <w:p w14:paraId="6616C408">
            <w:pPr>
              <w:widowControl/>
              <w:ind w:firstLine="0" w:firstLineChars="0"/>
              <w:jc w:val="center"/>
              <w:rPr>
                <w:rFonts w:ascii="宋体" w:hAnsi="宋体" w:eastAsia="宋体" w:cs="宋体"/>
                <w:sz w:val="20"/>
                <w:szCs w:val="20"/>
              </w:rPr>
            </w:pPr>
            <w:r>
              <w:rPr>
                <w:rFonts w:hint="eastAsia" w:ascii="宋体" w:hAnsi="宋体" w:eastAsia="宋体" w:cs="宋体"/>
                <w:sz w:val="20"/>
                <w:szCs w:val="20"/>
              </w:rPr>
              <w:t>中</w:t>
            </w:r>
          </w:p>
        </w:tc>
        <w:tc>
          <w:tcPr>
            <w:tcW w:w="903" w:type="dxa"/>
            <w:tcBorders>
              <w:top w:val="nil"/>
              <w:left w:val="nil"/>
              <w:bottom w:val="nil"/>
              <w:right w:val="nil"/>
            </w:tcBorders>
            <w:vAlign w:val="center"/>
          </w:tcPr>
          <w:p w14:paraId="01AD18E7">
            <w:pPr>
              <w:widowControl/>
              <w:ind w:firstLine="0" w:firstLineChars="0"/>
              <w:jc w:val="center"/>
              <w:rPr>
                <w:rFonts w:ascii="宋体" w:hAnsi="宋体" w:eastAsia="宋体" w:cs="宋体"/>
                <w:sz w:val="20"/>
                <w:szCs w:val="20"/>
              </w:rPr>
            </w:pPr>
            <w:r>
              <w:rPr>
                <w:rFonts w:hint="eastAsia" w:ascii="宋体" w:hAnsi="宋体" w:eastAsia="宋体" w:cs="宋体"/>
                <w:sz w:val="20"/>
                <w:szCs w:val="20"/>
              </w:rPr>
              <w:t>低</w:t>
            </w:r>
          </w:p>
        </w:tc>
        <w:tc>
          <w:tcPr>
            <w:tcW w:w="906" w:type="dxa"/>
            <w:tcBorders>
              <w:top w:val="nil"/>
              <w:left w:val="nil"/>
              <w:bottom w:val="nil"/>
              <w:right w:val="nil"/>
            </w:tcBorders>
            <w:vAlign w:val="center"/>
          </w:tcPr>
          <w:p w14:paraId="60A484D2">
            <w:pPr>
              <w:widowControl/>
              <w:ind w:firstLine="0" w:firstLineChars="0"/>
              <w:jc w:val="center"/>
              <w:rPr>
                <w:rFonts w:ascii="宋体" w:hAnsi="宋体" w:eastAsia="宋体" w:cs="宋体"/>
                <w:sz w:val="20"/>
                <w:szCs w:val="20"/>
              </w:rPr>
            </w:pPr>
            <w:r>
              <w:rPr>
                <w:rFonts w:hint="eastAsia" w:ascii="宋体" w:hAnsi="宋体" w:eastAsia="宋体" w:cs="宋体"/>
                <w:sz w:val="20"/>
                <w:szCs w:val="20"/>
              </w:rPr>
              <w:t>非常低</w:t>
            </w:r>
          </w:p>
        </w:tc>
      </w:tr>
    </w:tbl>
    <w:p w14:paraId="4B0FA020">
      <w:pPr>
        <w:ind w:firstLine="560"/>
        <w:rPr>
          <w:rFonts w:ascii="宋体" w:hAnsi="宋体" w:eastAsia="宋体" w:cs="宋体"/>
        </w:rPr>
        <w:sectPr>
          <w:pgSz w:w="16838" w:h="11906" w:orient="landscape"/>
          <w:pgMar w:top="1800" w:right="1440" w:bottom="1800" w:left="1440" w:header="851" w:footer="992" w:gutter="0"/>
          <w:cols w:space="425" w:num="1"/>
          <w:titlePg/>
          <w:docGrid w:type="lines" w:linePitch="381" w:charSpace="0"/>
        </w:sectPr>
      </w:pPr>
    </w:p>
    <w:p w14:paraId="306703F2">
      <w:pPr>
        <w:pStyle w:val="14"/>
        <w:keepNext/>
        <w:rPr>
          <w:rFonts w:ascii="宋体" w:hAnsi="宋体" w:eastAsia="宋体" w:cs="宋体"/>
        </w:rPr>
      </w:pPr>
      <w:r>
        <w:drawing>
          <wp:inline distT="0" distB="0" distL="114300" distR="114300">
            <wp:extent cx="5269230" cy="5867400"/>
            <wp:effectExtent l="5080" t="4445" r="13970" b="10795"/>
            <wp:docPr id="1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6280530">
      <w:pPr>
        <w:pStyle w:val="14"/>
        <w:rPr>
          <w:rFonts w:ascii="宋体" w:hAnsi="宋体" w:eastAsia="宋体" w:cs="宋体"/>
        </w:rPr>
      </w:pPr>
      <w:r>
        <w:rPr>
          <w:rFonts w:hint="eastAsia" w:ascii="宋体" w:hAnsi="宋体" w:eastAsia="宋体" w:cs="宋体"/>
        </w:rPr>
        <w:t>图</w:t>
      </w:r>
      <w:r>
        <w:rPr>
          <w:rFonts w:eastAsia="宋体" w:cs="Times New Roman"/>
        </w:rPr>
        <w:t>2</w:t>
      </w:r>
      <w:r>
        <w:rPr>
          <w:rFonts w:hint="eastAsia" w:ascii="宋体" w:hAnsi="宋体" w:eastAsia="宋体" w:cs="宋体"/>
        </w:rPr>
        <w:t>.乌海银行</w:t>
      </w:r>
      <w:r>
        <w:rPr>
          <w:rFonts w:eastAsia="宋体" w:cs="Times New Roman"/>
        </w:rPr>
        <w:t>2025</w:t>
      </w:r>
      <w:r>
        <w:rPr>
          <w:rFonts w:hint="eastAsia" w:ascii="宋体" w:hAnsi="宋体" w:eastAsia="宋体" w:cs="宋体"/>
        </w:rPr>
        <w:t>年末绿色信贷资产行业对生态系统服务的依赖性程度分布</w:t>
      </w:r>
    </w:p>
    <w:p w14:paraId="48EC2F2B">
      <w:pPr>
        <w:ind w:firstLine="560"/>
        <w:rPr>
          <w:rFonts w:ascii="宋体" w:hAnsi="宋体" w:eastAsia="宋体" w:cs="宋体"/>
        </w:rPr>
      </w:pPr>
    </w:p>
    <w:p w14:paraId="0DAC6C09">
      <w:pPr>
        <w:ind w:firstLine="560"/>
        <w:rPr>
          <w:rFonts w:ascii="宋体" w:hAnsi="宋体" w:eastAsia="宋体" w:cs="宋体"/>
        </w:rPr>
      </w:pPr>
      <w:r>
        <w:rPr>
          <w:rFonts w:hint="eastAsia" w:ascii="宋体" w:hAnsi="宋体" w:eastAsia="宋体" w:cs="宋体"/>
        </w:rPr>
        <w:t>综合</w:t>
      </w:r>
      <w:r>
        <w:rPr>
          <w:rFonts w:eastAsia="宋体" w:cs="Times New Roman"/>
        </w:rPr>
        <w:t>2025</w:t>
      </w:r>
      <w:r>
        <w:rPr>
          <w:rFonts w:hint="eastAsia" w:ascii="宋体" w:hAnsi="宋体" w:eastAsia="宋体" w:cs="宋体"/>
        </w:rPr>
        <w:t>年末绿色信贷资产余额以及生态系统服务依赖性程度的分布结果来看，</w:t>
      </w:r>
      <w:r>
        <w:rPr>
          <w:rFonts w:eastAsia="宋体" w:cs="Times New Roman"/>
        </w:rPr>
        <w:t>绿色信贷资产</w:t>
      </w:r>
      <w:r>
        <w:rPr>
          <w:rFonts w:hint="eastAsia" w:ascii="宋体" w:hAnsi="宋体" w:eastAsia="宋体" w:cs="宋体"/>
        </w:rPr>
        <w:t>余额所涉及的行业对“固体废物修复”“供水”和“水流调节服务”等关键生态系统服务具有较高的依赖性。</w:t>
      </w:r>
    </w:p>
    <w:p w14:paraId="6A515AD2">
      <w:pPr>
        <w:ind w:firstLine="0" w:firstLineChars="0"/>
        <w:jc w:val="center"/>
        <w:rPr>
          <w:rFonts w:ascii="宋体" w:hAnsi="宋体" w:eastAsia="宋体" w:cs="宋体"/>
        </w:rPr>
        <w:sectPr>
          <w:pgSz w:w="11906" w:h="16838"/>
          <w:pgMar w:top="1440" w:right="1800" w:bottom="1440" w:left="1800" w:header="851" w:footer="992" w:gutter="0"/>
          <w:cols w:space="425" w:num="1"/>
          <w:titlePg/>
          <w:docGrid w:type="lines" w:linePitch="381" w:charSpace="0"/>
        </w:sectPr>
      </w:pPr>
    </w:p>
    <w:p w14:paraId="2806AF05">
      <w:pPr>
        <w:keepNext/>
        <w:ind w:firstLine="0" w:firstLineChars="0"/>
        <w:jc w:val="center"/>
        <w:rPr>
          <w:rFonts w:ascii="宋体" w:hAnsi="宋体" w:eastAsia="宋体" w:cs="宋体"/>
        </w:rPr>
      </w:pPr>
      <w:r>
        <w:drawing>
          <wp:inline distT="0" distB="0" distL="114300" distR="114300">
            <wp:extent cx="8856345" cy="3303270"/>
            <wp:effectExtent l="4445" t="5080" r="8890" b="1397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6D0DAA0">
      <w:pPr>
        <w:pStyle w:val="14"/>
        <w:rPr>
          <w:rFonts w:ascii="宋体" w:hAnsi="宋体" w:eastAsia="宋体" w:cs="宋体"/>
        </w:rPr>
      </w:pPr>
      <w:r>
        <w:rPr>
          <w:rFonts w:hint="eastAsia" w:ascii="宋体" w:hAnsi="宋体" w:eastAsia="宋体" w:cs="宋体"/>
        </w:rPr>
        <w:t>图</w:t>
      </w:r>
      <w:r>
        <w:rPr>
          <w:rFonts w:eastAsia="宋体" w:cs="Times New Roman"/>
        </w:rPr>
        <w:t>3</w:t>
      </w:r>
      <w:r>
        <w:rPr>
          <w:rFonts w:hint="eastAsia" w:ascii="宋体" w:hAnsi="宋体" w:eastAsia="宋体" w:cs="宋体"/>
        </w:rPr>
        <w:t>.乌海银行绿色信贷资产细分行业对生态系统服务的依赖性强度</w:t>
      </w:r>
    </w:p>
    <w:p w14:paraId="21CCB601">
      <w:pPr>
        <w:snapToGrid/>
        <w:ind w:firstLine="560"/>
        <w:rPr>
          <w:rFonts w:ascii="宋体" w:hAnsi="宋体" w:eastAsia="宋体" w:cs="宋体"/>
        </w:rPr>
      </w:pPr>
      <w:r>
        <w:rPr>
          <w:rFonts w:hint="eastAsia" w:ascii="宋体" w:hAnsi="宋体" w:eastAsia="宋体" w:cs="宋体"/>
        </w:rPr>
        <w:t>在细分行业生态系统服务依赖性评估方面，我行采用赋值法计算各细分行业依赖总分值。经测算，自然相关高依赖行业分别为污水处理及其再生利用、住宅房屋建筑和太阳能发电。我行</w:t>
      </w:r>
      <w:r>
        <w:rPr>
          <w:rFonts w:eastAsia="宋体" w:cs="Times New Roman"/>
        </w:rPr>
        <w:t>2025</w:t>
      </w:r>
      <w:r>
        <w:rPr>
          <w:rFonts w:hint="eastAsia" w:ascii="宋体" w:hAnsi="宋体" w:eastAsia="宋体" w:cs="宋体"/>
        </w:rPr>
        <w:t>年末的绿色信贷资产中，</w:t>
      </w:r>
      <w:r>
        <w:rPr>
          <w:rFonts w:eastAsia="宋体" w:cs="Times New Roman"/>
        </w:rPr>
        <w:t>27.64%</w:t>
      </w:r>
      <w:r>
        <w:rPr>
          <w:rFonts w:hint="eastAsia" w:ascii="宋体" w:hAnsi="宋体" w:eastAsia="宋体" w:cs="宋体"/>
        </w:rPr>
        <w:t>的绿色信贷资产来自上述高依赖行业，这些行业的经营活动高度或非常高度依赖于一种或多种生态系统服务，尤其表现为对“固体废物修复”“水流调节服务”和“降雨模式调节服务”的高度依赖。</w:t>
      </w:r>
      <w:r>
        <w:rPr>
          <w:rFonts w:hint="eastAsia" w:ascii="宋体" w:hAnsi="宋体" w:eastAsia="宋体" w:cs="宋体"/>
        </w:rPr>
        <w:br w:type="page"/>
      </w:r>
    </w:p>
    <w:p w14:paraId="2254C6C0">
      <w:pPr>
        <w:pStyle w:val="38"/>
        <w:spacing w:after="0"/>
        <w:ind w:firstLine="0" w:firstLineChars="0"/>
        <w:jc w:val="center"/>
        <w:rPr>
          <w:rFonts w:ascii="宋体" w:hAnsi="宋体" w:eastAsia="宋体" w:cs="宋体"/>
        </w:rPr>
      </w:pPr>
      <w:r>
        <w:rPr>
          <w:rFonts w:hint="eastAsia" w:ascii="宋体" w:hAnsi="宋体" w:eastAsia="宋体" w:cs="宋体"/>
          <w:b/>
          <w:bCs/>
          <w:sz w:val="24"/>
          <w:szCs w:val="18"/>
        </w:rPr>
        <w:t>表</w:t>
      </w:r>
      <w:r>
        <w:rPr>
          <w:rFonts w:eastAsia="宋体" w:cs="Times New Roman"/>
          <w:b/>
          <w:bCs/>
          <w:sz w:val="24"/>
          <w:szCs w:val="18"/>
        </w:rPr>
        <w:t>4</w:t>
      </w:r>
      <w:r>
        <w:rPr>
          <w:rFonts w:hint="eastAsia" w:ascii="宋体" w:hAnsi="宋体" w:eastAsia="宋体" w:cs="宋体"/>
          <w:b/>
          <w:bCs/>
          <w:sz w:val="24"/>
          <w:szCs w:val="18"/>
        </w:rPr>
        <w:t>.乌海银行投融资业务对自然的影响</w:t>
      </w:r>
    </w:p>
    <w:tbl>
      <w:tblPr>
        <w:tblStyle w:val="40"/>
        <w:tblW w:w="4995" w:type="pct"/>
        <w:tblInd w:w="0" w:type="dxa"/>
        <w:tblLayout w:type="fixed"/>
        <w:tblCellMar>
          <w:top w:w="0" w:type="dxa"/>
          <w:left w:w="108" w:type="dxa"/>
          <w:bottom w:w="0" w:type="dxa"/>
          <w:right w:w="108" w:type="dxa"/>
        </w:tblCellMar>
      </w:tblPr>
      <w:tblGrid>
        <w:gridCol w:w="2006"/>
        <w:gridCol w:w="2416"/>
        <w:gridCol w:w="972"/>
        <w:gridCol w:w="972"/>
        <w:gridCol w:w="972"/>
        <w:gridCol w:w="972"/>
        <w:gridCol w:w="968"/>
        <w:gridCol w:w="968"/>
        <w:gridCol w:w="968"/>
        <w:gridCol w:w="968"/>
        <w:gridCol w:w="968"/>
        <w:gridCol w:w="1008"/>
      </w:tblGrid>
      <w:tr w14:paraId="1CC10846">
        <w:tblPrEx>
          <w:tblCellMar>
            <w:top w:w="0" w:type="dxa"/>
            <w:left w:w="108" w:type="dxa"/>
            <w:bottom w:w="0" w:type="dxa"/>
            <w:right w:w="108" w:type="dxa"/>
          </w:tblCellMar>
        </w:tblPrEx>
        <w:trPr>
          <w:trHeight w:val="343" w:hRule="atLeast"/>
          <w:tblHeader/>
        </w:trPr>
        <w:tc>
          <w:tcPr>
            <w:tcW w:w="1561" w:type="pct"/>
            <w:gridSpan w:val="2"/>
            <w:tcBorders>
              <w:top w:val="single" w:color="000000" w:sz="8" w:space="0"/>
              <w:left w:val="single" w:color="000000" w:sz="8" w:space="0"/>
              <w:bottom w:val="single" w:color="000000" w:sz="4" w:space="0"/>
              <w:right w:val="single" w:color="000000" w:sz="4" w:space="0"/>
            </w:tcBorders>
            <w:shd w:val="clear" w:color="auto" w:fill="D7D7D7" w:themeFill="background1" w:themeFillShade="D8"/>
            <w:noWrap/>
            <w:vAlign w:val="center"/>
          </w:tcPr>
          <w:p w14:paraId="4F66DD7C">
            <w:pPr>
              <w:spacing w:line="240" w:lineRule="auto"/>
              <w:ind w:firstLine="0" w:firstLineChars="0"/>
              <w:jc w:val="center"/>
              <w:textAlignment w:val="center"/>
              <w:rPr>
                <w:rFonts w:ascii="宋体" w:hAnsi="宋体" w:eastAsia="宋体" w:cs="宋体"/>
                <w:b/>
                <w:bCs/>
                <w:color w:val="000000"/>
                <w:sz w:val="22"/>
                <w:lang w:bidi="ar"/>
              </w:rPr>
            </w:pPr>
            <w:r>
              <w:rPr>
                <w:rFonts w:hint="eastAsia" w:ascii="宋体" w:hAnsi="宋体" w:eastAsia="宋体" w:cs="宋体"/>
                <w:b/>
                <w:bCs/>
                <w:color w:val="000000"/>
                <w:sz w:val="22"/>
                <w:lang w:bidi="ar"/>
              </w:rPr>
              <w:t>行业分类</w:t>
            </w:r>
          </w:p>
        </w:tc>
        <w:tc>
          <w:tcPr>
            <w:tcW w:w="3438" w:type="pct"/>
            <w:gridSpan w:val="10"/>
            <w:tcBorders>
              <w:top w:val="single" w:color="000000" w:sz="8" w:space="0"/>
              <w:left w:val="single" w:color="000000" w:sz="4" w:space="0"/>
              <w:bottom w:val="single" w:color="000000" w:sz="4" w:space="0"/>
              <w:right w:val="single" w:color="000000" w:sz="8" w:space="0"/>
            </w:tcBorders>
            <w:shd w:val="clear" w:color="auto" w:fill="D7D7D7" w:themeFill="background1" w:themeFillShade="D8"/>
            <w:vAlign w:val="center"/>
          </w:tcPr>
          <w:p w14:paraId="46CB02FD">
            <w:pPr>
              <w:spacing w:line="240" w:lineRule="auto"/>
              <w:ind w:firstLine="0" w:firstLineChars="0"/>
              <w:jc w:val="center"/>
              <w:textAlignment w:val="center"/>
              <w:rPr>
                <w:rFonts w:ascii="宋体" w:hAnsi="宋体" w:eastAsia="宋体" w:cs="宋体"/>
                <w:b/>
                <w:bCs/>
                <w:color w:val="000000"/>
                <w:sz w:val="22"/>
                <w:lang w:bidi="ar"/>
              </w:rPr>
            </w:pPr>
            <w:r>
              <w:rPr>
                <w:rFonts w:hint="eastAsia" w:ascii="宋体" w:hAnsi="宋体" w:eastAsia="宋体" w:cs="宋体"/>
                <w:b/>
                <w:bCs/>
                <w:color w:val="000000"/>
                <w:sz w:val="22"/>
                <w:lang w:bidi="ar"/>
              </w:rPr>
              <w:t>影响</w:t>
            </w:r>
          </w:p>
        </w:tc>
      </w:tr>
      <w:tr w14:paraId="48682C20">
        <w:tblPrEx>
          <w:tblCellMar>
            <w:top w:w="0" w:type="dxa"/>
            <w:left w:w="108" w:type="dxa"/>
            <w:bottom w:w="0" w:type="dxa"/>
            <w:right w:w="108" w:type="dxa"/>
          </w:tblCellMar>
        </w:tblPrEx>
        <w:trPr>
          <w:trHeight w:val="1104" w:hRule="atLeast"/>
          <w:tblHeader/>
        </w:trPr>
        <w:tc>
          <w:tcPr>
            <w:tcW w:w="708" w:type="pct"/>
            <w:tcBorders>
              <w:top w:val="single" w:color="000000" w:sz="8" w:space="0"/>
              <w:left w:val="single" w:color="000000" w:sz="8" w:space="0"/>
              <w:bottom w:val="single" w:color="auto" w:sz="4" w:space="0"/>
              <w:right w:val="single" w:color="000000" w:sz="4" w:space="0"/>
            </w:tcBorders>
            <w:shd w:val="clear" w:color="auto" w:fill="D7D7D7" w:themeFill="background1" w:themeFillShade="D8"/>
            <w:noWrap/>
            <w:vAlign w:val="center"/>
          </w:tcPr>
          <w:p w14:paraId="6977F356">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行业门类</w:t>
            </w:r>
          </w:p>
        </w:tc>
        <w:tc>
          <w:tcPr>
            <w:tcW w:w="853" w:type="pct"/>
            <w:tcBorders>
              <w:top w:val="single" w:color="000000" w:sz="8" w:space="0"/>
              <w:left w:val="single" w:color="000000" w:sz="4" w:space="0"/>
              <w:bottom w:val="single" w:color="auto" w:sz="4" w:space="0"/>
              <w:right w:val="single" w:color="000000" w:sz="4" w:space="0"/>
            </w:tcBorders>
            <w:shd w:val="clear" w:color="auto" w:fill="D7D7D7" w:themeFill="background1" w:themeFillShade="D8"/>
            <w:noWrap/>
            <w:vAlign w:val="center"/>
          </w:tcPr>
          <w:p w14:paraId="2CD9E178">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细分行业</w:t>
            </w:r>
          </w:p>
        </w:tc>
        <w:tc>
          <w:tcPr>
            <w:tcW w:w="343" w:type="pct"/>
            <w:tcBorders>
              <w:top w:val="single" w:color="000000" w:sz="8" w:space="0"/>
              <w:left w:val="single" w:color="000000" w:sz="4" w:space="0"/>
              <w:bottom w:val="single" w:color="auto" w:sz="4" w:space="0"/>
              <w:right w:val="single" w:color="000000" w:sz="4" w:space="0"/>
            </w:tcBorders>
            <w:shd w:val="clear" w:color="auto" w:fill="D7D7D7" w:themeFill="background1" w:themeFillShade="D8"/>
            <w:vAlign w:val="center"/>
          </w:tcPr>
          <w:p w14:paraId="6E91D77D">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干扰活动（噪音、光线）</w:t>
            </w:r>
          </w:p>
        </w:tc>
        <w:tc>
          <w:tcPr>
            <w:tcW w:w="343" w:type="pct"/>
            <w:tcBorders>
              <w:top w:val="single" w:color="000000" w:sz="8" w:space="0"/>
              <w:left w:val="single" w:color="000000" w:sz="4" w:space="0"/>
              <w:bottom w:val="single" w:color="auto" w:sz="4" w:space="0"/>
              <w:right w:val="single" w:color="000000" w:sz="4" w:space="0"/>
            </w:tcBorders>
            <w:shd w:val="clear" w:color="auto" w:fill="D7D7D7" w:themeFill="background1" w:themeFillShade="D8"/>
            <w:vAlign w:val="center"/>
          </w:tcPr>
          <w:p w14:paraId="358F4A36">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淡水使用</w:t>
            </w:r>
          </w:p>
        </w:tc>
        <w:tc>
          <w:tcPr>
            <w:tcW w:w="343" w:type="pct"/>
            <w:tcBorders>
              <w:top w:val="single" w:color="000000" w:sz="8" w:space="0"/>
              <w:left w:val="single" w:color="000000" w:sz="4" w:space="0"/>
              <w:bottom w:val="single" w:color="auto" w:sz="4" w:space="0"/>
              <w:right w:val="single" w:color="000000" w:sz="4" w:space="0"/>
            </w:tcBorders>
            <w:shd w:val="clear" w:color="auto" w:fill="D7D7D7" w:themeFill="background1" w:themeFillShade="D8"/>
            <w:vAlign w:val="center"/>
          </w:tcPr>
          <w:p w14:paraId="5EF1C53E">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温室气体排放</w:t>
            </w:r>
          </w:p>
        </w:tc>
        <w:tc>
          <w:tcPr>
            <w:tcW w:w="343" w:type="pct"/>
            <w:tcBorders>
              <w:top w:val="single" w:color="000000" w:sz="8" w:space="0"/>
              <w:left w:val="single" w:color="000000" w:sz="4" w:space="0"/>
              <w:bottom w:val="single" w:color="auto" w:sz="4" w:space="0"/>
              <w:right w:val="single" w:color="000000" w:sz="4" w:space="0"/>
            </w:tcBorders>
            <w:shd w:val="clear" w:color="auto" w:fill="D7D7D7" w:themeFill="background1" w:themeFillShade="D8"/>
            <w:vAlign w:val="center"/>
          </w:tcPr>
          <w:p w14:paraId="7532B2B0">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非温室气体空气污染物排放</w:t>
            </w:r>
          </w:p>
        </w:tc>
        <w:tc>
          <w:tcPr>
            <w:tcW w:w="342" w:type="pct"/>
            <w:tcBorders>
              <w:top w:val="single" w:color="000000" w:sz="8" w:space="0"/>
              <w:left w:val="single" w:color="000000" w:sz="4" w:space="0"/>
              <w:bottom w:val="single" w:color="auto" w:sz="4" w:space="0"/>
              <w:right w:val="single" w:color="000000" w:sz="4" w:space="0"/>
            </w:tcBorders>
            <w:shd w:val="clear" w:color="auto" w:fill="D7D7D7" w:themeFill="background1" w:themeFillShade="D8"/>
            <w:vAlign w:val="center"/>
          </w:tcPr>
          <w:p w14:paraId="0938FC3A">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有毒污染物水土排放</w:t>
            </w:r>
          </w:p>
        </w:tc>
        <w:tc>
          <w:tcPr>
            <w:tcW w:w="342" w:type="pct"/>
            <w:tcBorders>
              <w:top w:val="single" w:color="000000" w:sz="8" w:space="0"/>
              <w:left w:val="single" w:color="000000" w:sz="4" w:space="0"/>
              <w:bottom w:val="single" w:color="auto" w:sz="4" w:space="0"/>
              <w:right w:val="single" w:color="000000" w:sz="4" w:space="0"/>
            </w:tcBorders>
            <w:shd w:val="clear" w:color="auto" w:fill="D7D7D7" w:themeFill="background1" w:themeFillShade="D8"/>
            <w:vAlign w:val="center"/>
          </w:tcPr>
          <w:p w14:paraId="5EC810C0">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营养污染物水土排放</w:t>
            </w:r>
          </w:p>
        </w:tc>
        <w:tc>
          <w:tcPr>
            <w:tcW w:w="342" w:type="pct"/>
            <w:tcBorders>
              <w:top w:val="single" w:color="000000" w:sz="8" w:space="0"/>
              <w:left w:val="single" w:color="000000" w:sz="4" w:space="0"/>
              <w:bottom w:val="single" w:color="auto" w:sz="4" w:space="0"/>
              <w:right w:val="single" w:color="000000" w:sz="4" w:space="0"/>
            </w:tcBorders>
            <w:shd w:val="clear" w:color="auto" w:fill="D7D7D7" w:themeFill="background1" w:themeFillShade="D8"/>
            <w:vAlign w:val="center"/>
          </w:tcPr>
          <w:p w14:paraId="350567E1">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固体废物产生排放</w:t>
            </w:r>
          </w:p>
        </w:tc>
        <w:tc>
          <w:tcPr>
            <w:tcW w:w="342" w:type="pct"/>
            <w:tcBorders>
              <w:top w:val="single" w:color="000000" w:sz="8" w:space="0"/>
              <w:left w:val="single" w:color="000000" w:sz="4" w:space="0"/>
              <w:bottom w:val="single" w:color="auto" w:sz="4" w:space="0"/>
              <w:right w:val="single" w:color="000000" w:sz="4" w:space="0"/>
            </w:tcBorders>
            <w:shd w:val="clear" w:color="auto" w:fill="D7D7D7" w:themeFill="background1" w:themeFillShade="D8"/>
            <w:vAlign w:val="center"/>
          </w:tcPr>
          <w:p w14:paraId="683759B2">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土地利用</w:t>
            </w:r>
          </w:p>
        </w:tc>
        <w:tc>
          <w:tcPr>
            <w:tcW w:w="342" w:type="pct"/>
            <w:tcBorders>
              <w:top w:val="single" w:color="000000" w:sz="8" w:space="0"/>
              <w:left w:val="single" w:color="000000" w:sz="4" w:space="0"/>
              <w:bottom w:val="single" w:color="auto" w:sz="4" w:space="0"/>
              <w:right w:val="single" w:color="000000" w:sz="4" w:space="0"/>
            </w:tcBorders>
            <w:shd w:val="clear" w:color="auto" w:fill="D7D7D7" w:themeFill="background1" w:themeFillShade="D8"/>
            <w:vAlign w:val="center"/>
          </w:tcPr>
          <w:p w14:paraId="74189099">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水资源利用</w:t>
            </w:r>
          </w:p>
        </w:tc>
        <w:tc>
          <w:tcPr>
            <w:tcW w:w="351" w:type="pct"/>
            <w:tcBorders>
              <w:top w:val="single" w:color="000000" w:sz="8" w:space="0"/>
              <w:left w:val="single" w:color="000000" w:sz="4" w:space="0"/>
              <w:bottom w:val="single" w:color="auto" w:sz="4" w:space="0"/>
              <w:right w:val="single" w:color="000000" w:sz="8" w:space="0"/>
            </w:tcBorders>
            <w:shd w:val="clear" w:color="auto" w:fill="D7D7D7" w:themeFill="background1" w:themeFillShade="D8"/>
            <w:vAlign w:val="center"/>
          </w:tcPr>
          <w:p w14:paraId="5B65EBEE">
            <w:pPr>
              <w:spacing w:line="240" w:lineRule="auto"/>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sz w:val="22"/>
                <w:lang w:bidi="ar"/>
              </w:rPr>
              <w:t>入侵物种引入</w:t>
            </w:r>
          </w:p>
        </w:tc>
      </w:tr>
      <w:tr w14:paraId="21D69E2A">
        <w:tblPrEx>
          <w:tblCellMar>
            <w:top w:w="0" w:type="dxa"/>
            <w:left w:w="108" w:type="dxa"/>
            <w:bottom w:w="0" w:type="dxa"/>
            <w:right w:w="108" w:type="dxa"/>
          </w:tblCellMar>
        </w:tblPrEx>
        <w:trPr>
          <w:trHeight w:val="510" w:hRule="atLeast"/>
        </w:trPr>
        <w:tc>
          <w:tcPr>
            <w:tcW w:w="708" w:type="pct"/>
            <w:vMerge w:val="restart"/>
            <w:tcBorders>
              <w:top w:val="single" w:color="auto" w:sz="4" w:space="0"/>
              <w:left w:val="single" w:color="auto" w:sz="4" w:space="0"/>
              <w:right w:val="single" w:color="auto" w:sz="4" w:space="0"/>
            </w:tcBorders>
            <w:noWrap/>
            <w:vAlign w:val="center"/>
          </w:tcPr>
          <w:p w14:paraId="3B3F5BD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电力、热力、燃气及水生产和供应业</w:t>
            </w:r>
          </w:p>
        </w:tc>
        <w:tc>
          <w:tcPr>
            <w:tcW w:w="853" w:type="pct"/>
            <w:tcBorders>
              <w:top w:val="single" w:color="auto" w:sz="4" w:space="0"/>
              <w:left w:val="single" w:color="auto" w:sz="4" w:space="0"/>
              <w:bottom w:val="single" w:color="auto" w:sz="4" w:space="0"/>
              <w:right w:val="single" w:color="auto" w:sz="4" w:space="0"/>
            </w:tcBorders>
            <w:noWrap/>
            <w:vAlign w:val="center"/>
          </w:tcPr>
          <w:p w14:paraId="2D10AAE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D4416-太阳能发电</w:t>
            </w:r>
          </w:p>
        </w:tc>
        <w:tc>
          <w:tcPr>
            <w:tcW w:w="343" w:type="pct"/>
            <w:tcBorders>
              <w:top w:val="single" w:color="auto" w:sz="4" w:space="0"/>
              <w:left w:val="single" w:color="auto" w:sz="4" w:space="0"/>
              <w:bottom w:val="single" w:color="auto" w:sz="4" w:space="0"/>
              <w:right w:val="single" w:color="auto" w:sz="4" w:space="0"/>
            </w:tcBorders>
            <w:shd w:val="clear" w:color="auto" w:fill="70AD47"/>
            <w:vAlign w:val="center"/>
          </w:tcPr>
          <w:p w14:paraId="3838D88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343" w:type="pct"/>
            <w:tcBorders>
              <w:top w:val="single" w:color="auto" w:sz="4" w:space="0"/>
              <w:left w:val="single" w:color="auto" w:sz="4" w:space="0"/>
              <w:bottom w:val="single" w:color="auto" w:sz="4" w:space="0"/>
              <w:right w:val="single" w:color="auto" w:sz="4" w:space="0"/>
            </w:tcBorders>
            <w:vAlign w:val="center"/>
          </w:tcPr>
          <w:p w14:paraId="77272D0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343" w:type="pct"/>
            <w:tcBorders>
              <w:top w:val="single" w:color="auto" w:sz="4" w:space="0"/>
              <w:left w:val="single" w:color="auto" w:sz="4" w:space="0"/>
              <w:bottom w:val="single" w:color="auto" w:sz="4" w:space="0"/>
              <w:right w:val="single" w:color="auto" w:sz="4" w:space="0"/>
            </w:tcBorders>
            <w:shd w:val="clear" w:color="auto" w:fill="70AD47"/>
            <w:vAlign w:val="center"/>
          </w:tcPr>
          <w:p w14:paraId="19CDF8E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343" w:type="pct"/>
            <w:tcBorders>
              <w:top w:val="single" w:color="auto" w:sz="4" w:space="0"/>
              <w:left w:val="single" w:color="auto" w:sz="4" w:space="0"/>
              <w:bottom w:val="single" w:color="auto" w:sz="4" w:space="0"/>
              <w:right w:val="single" w:color="auto" w:sz="4" w:space="0"/>
            </w:tcBorders>
            <w:shd w:val="clear" w:color="auto" w:fill="70AD47"/>
            <w:vAlign w:val="center"/>
          </w:tcPr>
          <w:p w14:paraId="10A4635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342" w:type="pct"/>
            <w:tcBorders>
              <w:top w:val="single" w:color="auto" w:sz="4" w:space="0"/>
              <w:left w:val="single" w:color="auto" w:sz="4" w:space="0"/>
              <w:bottom w:val="single" w:color="auto" w:sz="4" w:space="0"/>
              <w:right w:val="single" w:color="auto" w:sz="4" w:space="0"/>
            </w:tcBorders>
            <w:shd w:val="clear" w:color="auto" w:fill="A9D08E"/>
            <w:vAlign w:val="center"/>
          </w:tcPr>
          <w:p w14:paraId="4508B02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342" w:type="pct"/>
            <w:tcBorders>
              <w:top w:val="single" w:color="auto" w:sz="4" w:space="0"/>
              <w:left w:val="single" w:color="auto" w:sz="4" w:space="0"/>
              <w:bottom w:val="single" w:color="auto" w:sz="4" w:space="0"/>
              <w:right w:val="single" w:color="auto" w:sz="4" w:space="0"/>
            </w:tcBorders>
            <w:shd w:val="clear" w:color="auto" w:fill="A9D08E"/>
            <w:vAlign w:val="center"/>
          </w:tcPr>
          <w:p w14:paraId="5E8F5A9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342" w:type="pct"/>
            <w:tcBorders>
              <w:top w:val="single" w:color="auto" w:sz="4" w:space="0"/>
              <w:left w:val="single" w:color="auto" w:sz="4" w:space="0"/>
              <w:bottom w:val="single" w:color="auto" w:sz="4" w:space="0"/>
              <w:right w:val="single" w:color="auto" w:sz="4" w:space="0"/>
            </w:tcBorders>
            <w:shd w:val="clear" w:color="auto" w:fill="70AD47"/>
            <w:vAlign w:val="center"/>
          </w:tcPr>
          <w:p w14:paraId="0A06C18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342" w:type="pct"/>
            <w:tcBorders>
              <w:top w:val="single" w:color="auto" w:sz="4" w:space="0"/>
              <w:left w:val="single" w:color="auto" w:sz="4" w:space="0"/>
              <w:bottom w:val="single" w:color="auto" w:sz="4" w:space="0"/>
              <w:right w:val="single" w:color="auto" w:sz="4" w:space="0"/>
            </w:tcBorders>
            <w:shd w:val="clear" w:color="auto" w:fill="70AD47"/>
            <w:vAlign w:val="center"/>
          </w:tcPr>
          <w:p w14:paraId="046880B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342" w:type="pct"/>
            <w:tcBorders>
              <w:top w:val="single" w:color="auto" w:sz="4" w:space="0"/>
              <w:left w:val="single" w:color="auto" w:sz="4" w:space="0"/>
              <w:bottom w:val="single" w:color="auto" w:sz="4" w:space="0"/>
              <w:right w:val="single" w:color="auto" w:sz="4" w:space="0"/>
            </w:tcBorders>
            <w:shd w:val="clear" w:color="auto" w:fill="A9D08E"/>
            <w:vAlign w:val="center"/>
          </w:tcPr>
          <w:p w14:paraId="480DA9F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351" w:type="pct"/>
            <w:tcBorders>
              <w:top w:val="single" w:color="auto" w:sz="4" w:space="0"/>
              <w:left w:val="single" w:color="auto" w:sz="4" w:space="0"/>
              <w:bottom w:val="single" w:color="auto" w:sz="4" w:space="0"/>
              <w:right w:val="single" w:color="auto" w:sz="4" w:space="0"/>
            </w:tcBorders>
            <w:vAlign w:val="center"/>
          </w:tcPr>
          <w:p w14:paraId="437A051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4748EA80">
        <w:tblPrEx>
          <w:tblCellMar>
            <w:top w:w="0" w:type="dxa"/>
            <w:left w:w="108" w:type="dxa"/>
            <w:bottom w:w="0" w:type="dxa"/>
            <w:right w:w="108" w:type="dxa"/>
          </w:tblCellMar>
        </w:tblPrEx>
        <w:trPr>
          <w:trHeight w:val="510" w:hRule="atLeast"/>
        </w:trPr>
        <w:tc>
          <w:tcPr>
            <w:tcW w:w="708" w:type="pct"/>
            <w:vMerge w:val="continue"/>
            <w:tcBorders>
              <w:left w:val="single" w:color="auto" w:sz="4" w:space="0"/>
              <w:right w:val="single" w:color="auto" w:sz="4" w:space="0"/>
            </w:tcBorders>
            <w:vAlign w:val="center"/>
          </w:tcPr>
          <w:p w14:paraId="34FAC933">
            <w:pPr>
              <w:spacing w:line="240" w:lineRule="auto"/>
              <w:ind w:firstLine="0" w:firstLineChars="0"/>
              <w:jc w:val="center"/>
              <w:textAlignment w:val="center"/>
              <w:rPr>
                <w:rFonts w:eastAsia="宋体" w:cs="Times New Roman"/>
                <w:b/>
                <w:bCs/>
                <w:color w:val="000000"/>
                <w:sz w:val="22"/>
                <w:lang w:bidi="ar"/>
              </w:rPr>
            </w:pPr>
          </w:p>
        </w:tc>
        <w:tc>
          <w:tcPr>
            <w:tcW w:w="2417" w:type="dxa"/>
            <w:tcBorders>
              <w:top w:val="single" w:color="auto" w:sz="4" w:space="0"/>
              <w:left w:val="single" w:color="auto" w:sz="4" w:space="0"/>
              <w:bottom w:val="single" w:color="auto" w:sz="4" w:space="0"/>
              <w:right w:val="single" w:color="auto" w:sz="4" w:space="0"/>
            </w:tcBorders>
            <w:vAlign w:val="center"/>
          </w:tcPr>
          <w:p w14:paraId="046E15F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D4420-电力供应</w:t>
            </w:r>
          </w:p>
        </w:tc>
        <w:tc>
          <w:tcPr>
            <w:tcW w:w="972" w:type="dxa"/>
            <w:tcBorders>
              <w:top w:val="single" w:color="auto" w:sz="4" w:space="0"/>
              <w:left w:val="single" w:color="auto" w:sz="4" w:space="0"/>
              <w:bottom w:val="single" w:color="auto" w:sz="4" w:space="0"/>
              <w:right w:val="single" w:color="auto" w:sz="4" w:space="0"/>
            </w:tcBorders>
            <w:shd w:val="clear" w:color="auto" w:fill="70AD47"/>
            <w:vAlign w:val="center"/>
          </w:tcPr>
          <w:p w14:paraId="6E847E9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2" w:type="dxa"/>
            <w:tcBorders>
              <w:top w:val="single" w:color="auto" w:sz="4" w:space="0"/>
              <w:left w:val="single" w:color="auto" w:sz="4" w:space="0"/>
              <w:bottom w:val="single" w:color="auto" w:sz="4" w:space="0"/>
              <w:right w:val="single" w:color="auto" w:sz="4" w:space="0"/>
            </w:tcBorders>
            <w:vAlign w:val="center"/>
          </w:tcPr>
          <w:p w14:paraId="20829D7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972" w:type="dxa"/>
            <w:tcBorders>
              <w:top w:val="single" w:color="auto" w:sz="4" w:space="0"/>
              <w:left w:val="single" w:color="auto" w:sz="4" w:space="0"/>
              <w:bottom w:val="single" w:color="auto" w:sz="4" w:space="0"/>
              <w:right w:val="single" w:color="auto" w:sz="4" w:space="0"/>
            </w:tcBorders>
            <w:shd w:val="clear" w:color="auto" w:fill="70AD47"/>
            <w:vAlign w:val="center"/>
          </w:tcPr>
          <w:p w14:paraId="2CDF758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2" w:type="dxa"/>
            <w:tcBorders>
              <w:top w:val="single" w:color="auto" w:sz="4" w:space="0"/>
              <w:left w:val="single" w:color="auto" w:sz="4" w:space="0"/>
              <w:bottom w:val="single" w:color="auto" w:sz="4" w:space="0"/>
              <w:right w:val="single" w:color="auto" w:sz="4" w:space="0"/>
            </w:tcBorders>
            <w:shd w:val="clear" w:color="auto" w:fill="70AD47"/>
            <w:vAlign w:val="center"/>
          </w:tcPr>
          <w:p w14:paraId="193570B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6BD186D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43852CB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70AD47"/>
            <w:vAlign w:val="center"/>
          </w:tcPr>
          <w:p w14:paraId="0648360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1" w:type="dxa"/>
            <w:tcBorders>
              <w:top w:val="single" w:color="auto" w:sz="4" w:space="0"/>
              <w:left w:val="single" w:color="auto" w:sz="4" w:space="0"/>
              <w:bottom w:val="single" w:color="auto" w:sz="4" w:space="0"/>
              <w:right w:val="single" w:color="auto" w:sz="4" w:space="0"/>
            </w:tcBorders>
            <w:shd w:val="clear" w:color="auto" w:fill="70AD47"/>
            <w:vAlign w:val="center"/>
          </w:tcPr>
          <w:p w14:paraId="77C0142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3DD1F2A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95" w:type="dxa"/>
            <w:tcBorders>
              <w:top w:val="single" w:color="auto" w:sz="4" w:space="0"/>
              <w:left w:val="single" w:color="auto" w:sz="4" w:space="0"/>
              <w:bottom w:val="single" w:color="auto" w:sz="4" w:space="0"/>
              <w:right w:val="single" w:color="auto" w:sz="4" w:space="0"/>
            </w:tcBorders>
            <w:vAlign w:val="center"/>
          </w:tcPr>
          <w:p w14:paraId="6F7EB08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1C547439">
        <w:tblPrEx>
          <w:tblCellMar>
            <w:top w:w="0" w:type="dxa"/>
            <w:left w:w="108" w:type="dxa"/>
            <w:bottom w:w="0" w:type="dxa"/>
            <w:right w:w="108" w:type="dxa"/>
          </w:tblCellMar>
        </w:tblPrEx>
        <w:trPr>
          <w:trHeight w:val="510" w:hRule="atLeast"/>
        </w:trPr>
        <w:tc>
          <w:tcPr>
            <w:tcW w:w="708" w:type="pct"/>
            <w:vMerge w:val="continue"/>
            <w:tcBorders>
              <w:left w:val="single" w:color="auto" w:sz="4" w:space="0"/>
              <w:bottom w:val="single" w:color="auto" w:sz="4" w:space="0"/>
              <w:right w:val="single" w:color="auto" w:sz="4" w:space="0"/>
            </w:tcBorders>
            <w:vAlign w:val="center"/>
          </w:tcPr>
          <w:p w14:paraId="3BAF1911">
            <w:pPr>
              <w:spacing w:line="240" w:lineRule="auto"/>
              <w:ind w:firstLine="0" w:firstLineChars="0"/>
              <w:jc w:val="center"/>
              <w:textAlignment w:val="center"/>
              <w:rPr>
                <w:rFonts w:eastAsia="宋体" w:cs="Times New Roman"/>
                <w:b/>
                <w:bCs/>
                <w:color w:val="000000"/>
                <w:sz w:val="22"/>
                <w:lang w:bidi="ar"/>
              </w:rPr>
            </w:pPr>
          </w:p>
        </w:tc>
        <w:tc>
          <w:tcPr>
            <w:tcW w:w="2417" w:type="dxa"/>
            <w:tcBorders>
              <w:top w:val="single" w:color="auto" w:sz="4" w:space="0"/>
              <w:left w:val="single" w:color="auto" w:sz="4" w:space="0"/>
              <w:bottom w:val="single" w:color="auto" w:sz="4" w:space="0"/>
              <w:right w:val="single" w:color="auto" w:sz="4" w:space="0"/>
            </w:tcBorders>
            <w:vAlign w:val="center"/>
          </w:tcPr>
          <w:p w14:paraId="6533957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D4620-污水处理及其再生利用</w:t>
            </w:r>
          </w:p>
        </w:tc>
        <w:tc>
          <w:tcPr>
            <w:tcW w:w="972" w:type="dxa"/>
            <w:tcBorders>
              <w:top w:val="single" w:color="auto" w:sz="4" w:space="0"/>
              <w:left w:val="single" w:color="auto" w:sz="4" w:space="0"/>
              <w:bottom w:val="single" w:color="auto" w:sz="4" w:space="0"/>
              <w:right w:val="single" w:color="auto" w:sz="4" w:space="0"/>
            </w:tcBorders>
            <w:shd w:val="clear" w:color="auto" w:fill="548235"/>
            <w:vAlign w:val="center"/>
          </w:tcPr>
          <w:p w14:paraId="31F8EBC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05278F4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shd w:val="clear" w:color="auto" w:fill="70AD47"/>
            <w:vAlign w:val="center"/>
          </w:tcPr>
          <w:p w14:paraId="49F30C8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2" w:type="dxa"/>
            <w:tcBorders>
              <w:top w:val="single" w:color="auto" w:sz="4" w:space="0"/>
              <w:left w:val="single" w:color="auto" w:sz="4" w:space="0"/>
              <w:bottom w:val="single" w:color="auto" w:sz="4" w:space="0"/>
              <w:right w:val="single" w:color="auto" w:sz="4" w:space="0"/>
            </w:tcBorders>
            <w:shd w:val="clear" w:color="auto" w:fill="C6E0B4"/>
            <w:vAlign w:val="center"/>
          </w:tcPr>
          <w:p w14:paraId="44D7E70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548235"/>
            <w:vAlign w:val="center"/>
          </w:tcPr>
          <w:p w14:paraId="6D804E0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c>
          <w:tcPr>
            <w:tcW w:w="971" w:type="dxa"/>
            <w:tcBorders>
              <w:top w:val="single" w:color="auto" w:sz="4" w:space="0"/>
              <w:left w:val="single" w:color="auto" w:sz="4" w:space="0"/>
              <w:bottom w:val="single" w:color="auto" w:sz="4" w:space="0"/>
              <w:right w:val="single" w:color="auto" w:sz="4" w:space="0"/>
            </w:tcBorders>
            <w:shd w:val="clear" w:color="auto" w:fill="548235"/>
            <w:vAlign w:val="center"/>
          </w:tcPr>
          <w:p w14:paraId="25A557E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136478F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01B3466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0F61D34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95" w:type="dxa"/>
            <w:tcBorders>
              <w:top w:val="single" w:color="auto" w:sz="4" w:space="0"/>
              <w:left w:val="single" w:color="auto" w:sz="4" w:space="0"/>
              <w:bottom w:val="single" w:color="auto" w:sz="4" w:space="0"/>
              <w:right w:val="single" w:color="auto" w:sz="4" w:space="0"/>
            </w:tcBorders>
            <w:shd w:val="clear" w:color="auto" w:fill="548235"/>
            <w:vAlign w:val="center"/>
          </w:tcPr>
          <w:p w14:paraId="4FF17F7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r>
      <w:tr w14:paraId="579E0E10">
        <w:tblPrEx>
          <w:tblCellMar>
            <w:top w:w="0" w:type="dxa"/>
            <w:left w:w="108" w:type="dxa"/>
            <w:bottom w:w="0" w:type="dxa"/>
            <w:right w:w="108" w:type="dxa"/>
          </w:tblCellMar>
        </w:tblPrEx>
        <w:trPr>
          <w:trHeight w:val="510" w:hRule="atLeast"/>
        </w:trPr>
        <w:tc>
          <w:tcPr>
            <w:tcW w:w="2006" w:type="dxa"/>
            <w:tcBorders>
              <w:top w:val="single" w:color="auto" w:sz="4" w:space="0"/>
              <w:left w:val="single" w:color="auto" w:sz="4" w:space="0"/>
              <w:bottom w:val="single" w:color="auto" w:sz="4" w:space="0"/>
              <w:right w:val="single" w:color="auto" w:sz="4" w:space="0"/>
            </w:tcBorders>
            <w:vAlign w:val="center"/>
          </w:tcPr>
          <w:p w14:paraId="34ABD78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建筑业</w:t>
            </w:r>
          </w:p>
        </w:tc>
        <w:tc>
          <w:tcPr>
            <w:tcW w:w="2417" w:type="dxa"/>
            <w:tcBorders>
              <w:top w:val="single" w:color="auto" w:sz="4" w:space="0"/>
              <w:left w:val="single" w:color="auto" w:sz="4" w:space="0"/>
              <w:bottom w:val="single" w:color="auto" w:sz="4" w:space="0"/>
              <w:right w:val="single" w:color="auto" w:sz="4" w:space="0"/>
            </w:tcBorders>
            <w:vAlign w:val="center"/>
          </w:tcPr>
          <w:p w14:paraId="4C11D30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E4710-住宅房屋建筑</w:t>
            </w:r>
          </w:p>
        </w:tc>
        <w:tc>
          <w:tcPr>
            <w:tcW w:w="972" w:type="dxa"/>
            <w:tcBorders>
              <w:top w:val="single" w:color="auto" w:sz="4" w:space="0"/>
              <w:left w:val="single" w:color="auto" w:sz="4" w:space="0"/>
              <w:bottom w:val="single" w:color="auto" w:sz="4" w:space="0"/>
              <w:right w:val="single" w:color="auto" w:sz="4" w:space="0"/>
            </w:tcBorders>
            <w:shd w:val="clear" w:color="auto" w:fill="548235"/>
            <w:vAlign w:val="center"/>
          </w:tcPr>
          <w:p w14:paraId="109A800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4D43852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shd w:val="clear" w:color="auto" w:fill="70AD47"/>
            <w:vAlign w:val="center"/>
          </w:tcPr>
          <w:p w14:paraId="389A8C3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2" w:type="dxa"/>
            <w:tcBorders>
              <w:top w:val="single" w:color="auto" w:sz="4" w:space="0"/>
              <w:left w:val="single" w:color="auto" w:sz="4" w:space="0"/>
              <w:bottom w:val="single" w:color="auto" w:sz="4" w:space="0"/>
              <w:right w:val="single" w:color="auto" w:sz="4" w:space="0"/>
            </w:tcBorders>
            <w:shd w:val="clear" w:color="auto" w:fill="C6E0B4"/>
            <w:vAlign w:val="center"/>
          </w:tcPr>
          <w:p w14:paraId="1A848B3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70AD47"/>
            <w:vAlign w:val="center"/>
          </w:tcPr>
          <w:p w14:paraId="25CCB4E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1" w:type="dxa"/>
            <w:tcBorders>
              <w:top w:val="single" w:color="auto" w:sz="4" w:space="0"/>
              <w:left w:val="single" w:color="auto" w:sz="4" w:space="0"/>
              <w:bottom w:val="single" w:color="auto" w:sz="4" w:space="0"/>
              <w:right w:val="single" w:color="auto" w:sz="4" w:space="0"/>
            </w:tcBorders>
            <w:vAlign w:val="center"/>
          </w:tcPr>
          <w:p w14:paraId="3B51FA4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4058A61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6265C12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46950EF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95" w:type="dxa"/>
            <w:tcBorders>
              <w:top w:val="single" w:color="auto" w:sz="4" w:space="0"/>
              <w:left w:val="single" w:color="auto" w:sz="4" w:space="0"/>
              <w:bottom w:val="single" w:color="auto" w:sz="4" w:space="0"/>
              <w:right w:val="single" w:color="auto" w:sz="4" w:space="0"/>
            </w:tcBorders>
            <w:shd w:val="clear" w:color="auto" w:fill="C6E0B4"/>
            <w:vAlign w:val="center"/>
          </w:tcPr>
          <w:p w14:paraId="607AD71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r>
      <w:tr w14:paraId="08DE21AC">
        <w:tblPrEx>
          <w:tblCellMar>
            <w:top w:w="0" w:type="dxa"/>
            <w:left w:w="108" w:type="dxa"/>
            <w:bottom w:w="0" w:type="dxa"/>
            <w:right w:w="108" w:type="dxa"/>
          </w:tblCellMar>
        </w:tblPrEx>
        <w:trPr>
          <w:trHeight w:val="510" w:hRule="atLeast"/>
        </w:trPr>
        <w:tc>
          <w:tcPr>
            <w:tcW w:w="708" w:type="pct"/>
            <w:vMerge w:val="restart"/>
            <w:tcBorders>
              <w:top w:val="single" w:color="auto" w:sz="4" w:space="0"/>
              <w:left w:val="single" w:color="auto" w:sz="4" w:space="0"/>
              <w:right w:val="single" w:color="auto" w:sz="4" w:space="0"/>
            </w:tcBorders>
            <w:vAlign w:val="center"/>
          </w:tcPr>
          <w:p w14:paraId="0F8E576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交通运输、仓储和邮政业</w:t>
            </w:r>
          </w:p>
        </w:tc>
        <w:tc>
          <w:tcPr>
            <w:tcW w:w="2417" w:type="dxa"/>
            <w:tcBorders>
              <w:top w:val="single" w:color="auto" w:sz="4" w:space="0"/>
              <w:left w:val="single" w:color="auto" w:sz="4" w:space="0"/>
              <w:bottom w:val="single" w:color="auto" w:sz="4" w:space="0"/>
              <w:right w:val="single" w:color="auto" w:sz="4" w:space="0"/>
            </w:tcBorders>
            <w:vAlign w:val="center"/>
          </w:tcPr>
          <w:p w14:paraId="35D91AF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G5431-普通货物道路运输</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16A654A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vAlign w:val="center"/>
          </w:tcPr>
          <w:p w14:paraId="0D35155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4E94F5C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shd w:val="clear" w:color="auto" w:fill="C6E0B4"/>
            <w:vAlign w:val="center"/>
          </w:tcPr>
          <w:p w14:paraId="7FF306E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6460529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609DBBE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E2EFDA"/>
            <w:vAlign w:val="center"/>
          </w:tcPr>
          <w:p w14:paraId="2412F9A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2452BC7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5238E85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95" w:type="dxa"/>
            <w:tcBorders>
              <w:top w:val="single" w:color="auto" w:sz="4" w:space="0"/>
              <w:left w:val="single" w:color="auto" w:sz="4" w:space="0"/>
              <w:bottom w:val="single" w:color="auto" w:sz="4" w:space="0"/>
              <w:right w:val="single" w:color="auto" w:sz="4" w:space="0"/>
            </w:tcBorders>
            <w:shd w:val="clear" w:color="auto" w:fill="C6E0B4"/>
            <w:vAlign w:val="center"/>
          </w:tcPr>
          <w:p w14:paraId="45517C8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r>
      <w:tr w14:paraId="0583C2B9">
        <w:tblPrEx>
          <w:tblCellMar>
            <w:top w:w="0" w:type="dxa"/>
            <w:left w:w="108" w:type="dxa"/>
            <w:bottom w:w="0" w:type="dxa"/>
            <w:right w:w="108" w:type="dxa"/>
          </w:tblCellMar>
        </w:tblPrEx>
        <w:trPr>
          <w:trHeight w:val="510" w:hRule="atLeast"/>
        </w:trPr>
        <w:tc>
          <w:tcPr>
            <w:tcW w:w="708" w:type="pct"/>
            <w:vMerge w:val="continue"/>
            <w:tcBorders>
              <w:left w:val="single" w:color="auto" w:sz="4" w:space="0"/>
              <w:bottom w:val="single" w:color="auto" w:sz="4" w:space="0"/>
              <w:right w:val="single" w:color="auto" w:sz="4" w:space="0"/>
            </w:tcBorders>
            <w:vAlign w:val="center"/>
          </w:tcPr>
          <w:p w14:paraId="3941DEE1">
            <w:pPr>
              <w:spacing w:line="240" w:lineRule="auto"/>
              <w:ind w:firstLine="0" w:firstLineChars="0"/>
              <w:jc w:val="center"/>
              <w:textAlignment w:val="center"/>
              <w:rPr>
                <w:rFonts w:eastAsia="宋体" w:cs="Times New Roman"/>
                <w:b/>
                <w:bCs/>
                <w:color w:val="000000"/>
                <w:sz w:val="22"/>
                <w:lang w:bidi="ar"/>
              </w:rPr>
            </w:pPr>
          </w:p>
        </w:tc>
        <w:tc>
          <w:tcPr>
            <w:tcW w:w="2417" w:type="dxa"/>
            <w:tcBorders>
              <w:top w:val="single" w:color="auto" w:sz="4" w:space="0"/>
              <w:left w:val="single" w:color="auto" w:sz="4" w:space="0"/>
              <w:bottom w:val="single" w:color="auto" w:sz="4" w:space="0"/>
              <w:right w:val="single" w:color="auto" w:sz="4" w:space="0"/>
            </w:tcBorders>
            <w:vAlign w:val="center"/>
          </w:tcPr>
          <w:p w14:paraId="0DDC244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G5439-其他道路货物运输</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4FE1BA2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vAlign w:val="center"/>
          </w:tcPr>
          <w:p w14:paraId="438C9FA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6123986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shd w:val="clear" w:color="auto" w:fill="C6E0B4"/>
            <w:vAlign w:val="center"/>
          </w:tcPr>
          <w:p w14:paraId="07E5C18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7855FC4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0113E96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E2EFDA"/>
            <w:vAlign w:val="center"/>
          </w:tcPr>
          <w:p w14:paraId="0CD485D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7C6C336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34980E0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95" w:type="dxa"/>
            <w:tcBorders>
              <w:top w:val="single" w:color="auto" w:sz="4" w:space="0"/>
              <w:left w:val="single" w:color="auto" w:sz="4" w:space="0"/>
              <w:bottom w:val="single" w:color="auto" w:sz="4" w:space="0"/>
              <w:right w:val="single" w:color="auto" w:sz="4" w:space="0"/>
            </w:tcBorders>
            <w:shd w:val="clear" w:color="auto" w:fill="C6E0B4"/>
            <w:vAlign w:val="center"/>
          </w:tcPr>
          <w:p w14:paraId="0659958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r>
      <w:tr w14:paraId="0D6DE63F">
        <w:tblPrEx>
          <w:tblCellMar>
            <w:top w:w="0" w:type="dxa"/>
            <w:left w:w="108" w:type="dxa"/>
            <w:bottom w:w="0" w:type="dxa"/>
            <w:right w:w="108" w:type="dxa"/>
          </w:tblCellMar>
        </w:tblPrEx>
        <w:trPr>
          <w:trHeight w:val="510" w:hRule="atLeast"/>
        </w:trPr>
        <w:tc>
          <w:tcPr>
            <w:tcW w:w="708" w:type="pct"/>
            <w:vMerge w:val="restart"/>
            <w:tcBorders>
              <w:top w:val="single" w:color="auto" w:sz="4" w:space="0"/>
              <w:left w:val="single" w:color="auto" w:sz="4" w:space="0"/>
              <w:right w:val="single" w:color="auto" w:sz="4" w:space="0"/>
            </w:tcBorders>
            <w:vAlign w:val="center"/>
          </w:tcPr>
          <w:p w14:paraId="3A3E240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科学研究和技术服务业</w:t>
            </w:r>
          </w:p>
        </w:tc>
        <w:tc>
          <w:tcPr>
            <w:tcW w:w="2417" w:type="dxa"/>
            <w:tcBorders>
              <w:top w:val="single" w:color="auto" w:sz="4" w:space="0"/>
              <w:left w:val="single" w:color="auto" w:sz="4" w:space="0"/>
              <w:bottom w:val="single" w:color="auto" w:sz="4" w:space="0"/>
              <w:right w:val="single" w:color="auto" w:sz="4" w:space="0"/>
            </w:tcBorders>
            <w:vAlign w:val="center"/>
          </w:tcPr>
          <w:p w14:paraId="5759AFD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M7514-节能技术推广服务</w:t>
            </w:r>
          </w:p>
        </w:tc>
        <w:tc>
          <w:tcPr>
            <w:tcW w:w="972" w:type="dxa"/>
            <w:tcBorders>
              <w:top w:val="single" w:color="auto" w:sz="4" w:space="0"/>
              <w:left w:val="single" w:color="auto" w:sz="4" w:space="0"/>
              <w:bottom w:val="single" w:color="auto" w:sz="4" w:space="0"/>
              <w:right w:val="single" w:color="auto" w:sz="4" w:space="0"/>
            </w:tcBorders>
            <w:shd w:val="clear" w:color="auto" w:fill="E2EFDA"/>
            <w:vAlign w:val="center"/>
          </w:tcPr>
          <w:p w14:paraId="6E34828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2" w:type="dxa"/>
            <w:tcBorders>
              <w:top w:val="single" w:color="auto" w:sz="4" w:space="0"/>
              <w:left w:val="single" w:color="auto" w:sz="4" w:space="0"/>
              <w:bottom w:val="single" w:color="auto" w:sz="4" w:space="0"/>
              <w:right w:val="single" w:color="auto" w:sz="4" w:space="0"/>
            </w:tcBorders>
            <w:vAlign w:val="center"/>
          </w:tcPr>
          <w:p w14:paraId="494FE64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2" w:type="dxa"/>
            <w:tcBorders>
              <w:top w:val="single" w:color="auto" w:sz="4" w:space="0"/>
              <w:left w:val="single" w:color="auto" w:sz="4" w:space="0"/>
              <w:bottom w:val="single" w:color="auto" w:sz="4" w:space="0"/>
              <w:right w:val="single" w:color="auto" w:sz="4" w:space="0"/>
            </w:tcBorders>
            <w:shd w:val="clear" w:color="auto" w:fill="E2EFDA"/>
            <w:vAlign w:val="center"/>
          </w:tcPr>
          <w:p w14:paraId="1B3ADC8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2" w:type="dxa"/>
            <w:tcBorders>
              <w:top w:val="single" w:color="auto" w:sz="4" w:space="0"/>
              <w:left w:val="single" w:color="auto" w:sz="4" w:space="0"/>
              <w:bottom w:val="single" w:color="auto" w:sz="4" w:space="0"/>
              <w:right w:val="single" w:color="auto" w:sz="4" w:space="0"/>
            </w:tcBorders>
            <w:shd w:val="clear" w:color="auto" w:fill="E2EFDA"/>
            <w:vAlign w:val="center"/>
          </w:tcPr>
          <w:p w14:paraId="1BABBD1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1" w:type="dxa"/>
            <w:tcBorders>
              <w:top w:val="single" w:color="auto" w:sz="4" w:space="0"/>
              <w:left w:val="single" w:color="auto" w:sz="4" w:space="0"/>
              <w:bottom w:val="single" w:color="auto" w:sz="4" w:space="0"/>
              <w:right w:val="single" w:color="auto" w:sz="4" w:space="0"/>
            </w:tcBorders>
            <w:shd w:val="clear" w:color="auto" w:fill="E2EFDA"/>
            <w:vAlign w:val="center"/>
          </w:tcPr>
          <w:p w14:paraId="00E110A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1" w:type="dxa"/>
            <w:tcBorders>
              <w:top w:val="single" w:color="auto" w:sz="4" w:space="0"/>
              <w:left w:val="single" w:color="auto" w:sz="4" w:space="0"/>
              <w:bottom w:val="single" w:color="auto" w:sz="4" w:space="0"/>
              <w:right w:val="single" w:color="auto" w:sz="4" w:space="0"/>
            </w:tcBorders>
            <w:vAlign w:val="center"/>
          </w:tcPr>
          <w:p w14:paraId="12CEDF2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1" w:type="dxa"/>
            <w:tcBorders>
              <w:top w:val="single" w:color="auto" w:sz="4" w:space="0"/>
              <w:left w:val="single" w:color="auto" w:sz="4" w:space="0"/>
              <w:bottom w:val="single" w:color="auto" w:sz="4" w:space="0"/>
              <w:right w:val="single" w:color="auto" w:sz="4" w:space="0"/>
            </w:tcBorders>
            <w:shd w:val="clear" w:color="auto" w:fill="E2EFDA"/>
            <w:vAlign w:val="center"/>
          </w:tcPr>
          <w:p w14:paraId="6AD5A94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1CC3FDC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16CE50F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95" w:type="dxa"/>
            <w:tcBorders>
              <w:top w:val="single" w:color="auto" w:sz="4" w:space="0"/>
              <w:left w:val="single" w:color="auto" w:sz="4" w:space="0"/>
              <w:bottom w:val="single" w:color="auto" w:sz="4" w:space="0"/>
              <w:right w:val="single" w:color="auto" w:sz="4" w:space="0"/>
            </w:tcBorders>
            <w:vAlign w:val="center"/>
          </w:tcPr>
          <w:p w14:paraId="5B31DF1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11765E1E">
        <w:tblPrEx>
          <w:tblCellMar>
            <w:top w:w="0" w:type="dxa"/>
            <w:left w:w="108" w:type="dxa"/>
            <w:bottom w:w="0" w:type="dxa"/>
            <w:right w:w="108" w:type="dxa"/>
          </w:tblCellMar>
        </w:tblPrEx>
        <w:trPr>
          <w:trHeight w:val="510" w:hRule="atLeast"/>
        </w:trPr>
        <w:tc>
          <w:tcPr>
            <w:tcW w:w="708" w:type="pct"/>
            <w:vMerge w:val="continue"/>
            <w:tcBorders>
              <w:left w:val="single" w:color="auto" w:sz="4" w:space="0"/>
              <w:bottom w:val="single" w:color="auto" w:sz="4" w:space="0"/>
              <w:right w:val="single" w:color="auto" w:sz="4" w:space="0"/>
            </w:tcBorders>
            <w:vAlign w:val="center"/>
          </w:tcPr>
          <w:p w14:paraId="54C57BA1">
            <w:pPr>
              <w:spacing w:line="240" w:lineRule="auto"/>
              <w:ind w:firstLine="0" w:firstLineChars="0"/>
              <w:jc w:val="center"/>
              <w:textAlignment w:val="center"/>
              <w:rPr>
                <w:rFonts w:eastAsia="宋体" w:cs="Times New Roman"/>
                <w:b/>
                <w:bCs/>
                <w:color w:val="000000"/>
                <w:sz w:val="22"/>
                <w:lang w:bidi="ar"/>
              </w:rPr>
            </w:pPr>
          </w:p>
        </w:tc>
        <w:tc>
          <w:tcPr>
            <w:tcW w:w="2417" w:type="dxa"/>
            <w:tcBorders>
              <w:top w:val="single" w:color="auto" w:sz="4" w:space="0"/>
              <w:left w:val="single" w:color="auto" w:sz="4" w:space="0"/>
              <w:bottom w:val="single" w:color="auto" w:sz="4" w:space="0"/>
              <w:right w:val="single" w:color="auto" w:sz="4" w:space="0"/>
            </w:tcBorders>
            <w:vAlign w:val="center"/>
          </w:tcPr>
          <w:p w14:paraId="700EFBA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M7515-新能源技术推广服务</w:t>
            </w:r>
          </w:p>
        </w:tc>
        <w:tc>
          <w:tcPr>
            <w:tcW w:w="972" w:type="dxa"/>
            <w:tcBorders>
              <w:top w:val="single" w:color="auto" w:sz="4" w:space="0"/>
              <w:left w:val="single" w:color="auto" w:sz="4" w:space="0"/>
              <w:bottom w:val="single" w:color="auto" w:sz="4" w:space="0"/>
              <w:right w:val="single" w:color="auto" w:sz="4" w:space="0"/>
            </w:tcBorders>
            <w:shd w:val="clear" w:color="auto" w:fill="E2EFDA"/>
            <w:vAlign w:val="center"/>
          </w:tcPr>
          <w:p w14:paraId="3964521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2" w:type="dxa"/>
            <w:tcBorders>
              <w:top w:val="single" w:color="auto" w:sz="4" w:space="0"/>
              <w:left w:val="single" w:color="auto" w:sz="4" w:space="0"/>
              <w:bottom w:val="single" w:color="auto" w:sz="4" w:space="0"/>
              <w:right w:val="single" w:color="auto" w:sz="4" w:space="0"/>
            </w:tcBorders>
            <w:vAlign w:val="center"/>
          </w:tcPr>
          <w:p w14:paraId="65A59C4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2" w:type="dxa"/>
            <w:tcBorders>
              <w:top w:val="single" w:color="auto" w:sz="4" w:space="0"/>
              <w:left w:val="single" w:color="auto" w:sz="4" w:space="0"/>
              <w:bottom w:val="single" w:color="auto" w:sz="4" w:space="0"/>
              <w:right w:val="single" w:color="auto" w:sz="4" w:space="0"/>
            </w:tcBorders>
            <w:shd w:val="clear" w:color="auto" w:fill="E2EFDA"/>
            <w:vAlign w:val="center"/>
          </w:tcPr>
          <w:p w14:paraId="09F6DFE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2" w:type="dxa"/>
            <w:tcBorders>
              <w:top w:val="single" w:color="auto" w:sz="4" w:space="0"/>
              <w:left w:val="single" w:color="auto" w:sz="4" w:space="0"/>
              <w:bottom w:val="single" w:color="auto" w:sz="4" w:space="0"/>
              <w:right w:val="single" w:color="auto" w:sz="4" w:space="0"/>
            </w:tcBorders>
            <w:shd w:val="clear" w:color="auto" w:fill="E2EFDA"/>
            <w:vAlign w:val="center"/>
          </w:tcPr>
          <w:p w14:paraId="7E82A38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1" w:type="dxa"/>
            <w:tcBorders>
              <w:top w:val="single" w:color="auto" w:sz="4" w:space="0"/>
              <w:left w:val="single" w:color="auto" w:sz="4" w:space="0"/>
              <w:bottom w:val="single" w:color="auto" w:sz="4" w:space="0"/>
              <w:right w:val="single" w:color="auto" w:sz="4" w:space="0"/>
            </w:tcBorders>
            <w:shd w:val="clear" w:color="auto" w:fill="E2EFDA"/>
            <w:vAlign w:val="center"/>
          </w:tcPr>
          <w:p w14:paraId="5692413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1" w:type="dxa"/>
            <w:tcBorders>
              <w:top w:val="single" w:color="auto" w:sz="4" w:space="0"/>
              <w:left w:val="single" w:color="auto" w:sz="4" w:space="0"/>
              <w:bottom w:val="single" w:color="auto" w:sz="4" w:space="0"/>
              <w:right w:val="single" w:color="auto" w:sz="4" w:space="0"/>
            </w:tcBorders>
            <w:vAlign w:val="center"/>
          </w:tcPr>
          <w:p w14:paraId="1803043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1" w:type="dxa"/>
            <w:tcBorders>
              <w:top w:val="single" w:color="auto" w:sz="4" w:space="0"/>
              <w:left w:val="single" w:color="auto" w:sz="4" w:space="0"/>
              <w:bottom w:val="single" w:color="auto" w:sz="4" w:space="0"/>
              <w:right w:val="single" w:color="auto" w:sz="4" w:space="0"/>
            </w:tcBorders>
            <w:shd w:val="clear" w:color="auto" w:fill="E2EFDA"/>
            <w:vAlign w:val="center"/>
          </w:tcPr>
          <w:p w14:paraId="02B8CD1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475AB05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7A7E13D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95" w:type="dxa"/>
            <w:tcBorders>
              <w:top w:val="single" w:color="auto" w:sz="4" w:space="0"/>
              <w:left w:val="single" w:color="auto" w:sz="4" w:space="0"/>
              <w:bottom w:val="single" w:color="auto" w:sz="4" w:space="0"/>
              <w:right w:val="single" w:color="auto" w:sz="4" w:space="0"/>
            </w:tcBorders>
            <w:vAlign w:val="center"/>
          </w:tcPr>
          <w:p w14:paraId="78556D7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3168D684">
        <w:tblPrEx>
          <w:tblCellMar>
            <w:top w:w="0" w:type="dxa"/>
            <w:left w:w="108" w:type="dxa"/>
            <w:bottom w:w="0" w:type="dxa"/>
            <w:right w:w="108" w:type="dxa"/>
          </w:tblCellMar>
        </w:tblPrEx>
        <w:trPr>
          <w:trHeight w:val="510" w:hRule="atLeast"/>
        </w:trPr>
        <w:tc>
          <w:tcPr>
            <w:tcW w:w="2006" w:type="dxa"/>
            <w:tcBorders>
              <w:top w:val="single" w:color="auto" w:sz="4" w:space="0"/>
              <w:left w:val="single" w:color="auto" w:sz="4" w:space="0"/>
              <w:bottom w:val="single" w:color="auto" w:sz="4" w:space="0"/>
              <w:right w:val="single" w:color="auto" w:sz="4" w:space="0"/>
            </w:tcBorders>
            <w:vAlign w:val="center"/>
          </w:tcPr>
          <w:p w14:paraId="1971A29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水利、环境和公共设施管理业</w:t>
            </w:r>
          </w:p>
        </w:tc>
        <w:tc>
          <w:tcPr>
            <w:tcW w:w="2417" w:type="dxa"/>
            <w:tcBorders>
              <w:top w:val="single" w:color="auto" w:sz="4" w:space="0"/>
              <w:left w:val="single" w:color="auto" w:sz="4" w:space="0"/>
              <w:bottom w:val="single" w:color="auto" w:sz="4" w:space="0"/>
              <w:right w:val="single" w:color="auto" w:sz="4" w:space="0"/>
            </w:tcBorders>
            <w:vAlign w:val="center"/>
          </w:tcPr>
          <w:p w14:paraId="4DC577C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N7724-危险废物治理</w:t>
            </w:r>
          </w:p>
        </w:tc>
        <w:tc>
          <w:tcPr>
            <w:tcW w:w="972" w:type="dxa"/>
            <w:tcBorders>
              <w:top w:val="single" w:color="auto" w:sz="4" w:space="0"/>
              <w:left w:val="single" w:color="auto" w:sz="4" w:space="0"/>
              <w:bottom w:val="single" w:color="auto" w:sz="4" w:space="0"/>
              <w:right w:val="single" w:color="auto" w:sz="4" w:space="0"/>
            </w:tcBorders>
            <w:shd w:val="clear" w:color="auto" w:fill="70AD47"/>
            <w:vAlign w:val="center"/>
          </w:tcPr>
          <w:p w14:paraId="479416D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2" w:type="dxa"/>
            <w:tcBorders>
              <w:top w:val="single" w:color="auto" w:sz="4" w:space="0"/>
              <w:left w:val="single" w:color="auto" w:sz="4" w:space="0"/>
              <w:bottom w:val="single" w:color="auto" w:sz="4" w:space="0"/>
              <w:right w:val="single" w:color="auto" w:sz="4" w:space="0"/>
            </w:tcBorders>
            <w:vAlign w:val="center"/>
          </w:tcPr>
          <w:p w14:paraId="2AE233D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ND</w:t>
            </w:r>
          </w:p>
        </w:tc>
        <w:tc>
          <w:tcPr>
            <w:tcW w:w="972" w:type="dxa"/>
            <w:tcBorders>
              <w:top w:val="single" w:color="auto" w:sz="4" w:space="0"/>
              <w:left w:val="single" w:color="auto" w:sz="4" w:space="0"/>
              <w:bottom w:val="single" w:color="auto" w:sz="4" w:space="0"/>
              <w:right w:val="single" w:color="auto" w:sz="4" w:space="0"/>
            </w:tcBorders>
            <w:shd w:val="clear" w:color="auto" w:fill="70AD47"/>
            <w:vAlign w:val="center"/>
          </w:tcPr>
          <w:p w14:paraId="0B78F52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7A62C1E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70AD47"/>
            <w:vAlign w:val="center"/>
          </w:tcPr>
          <w:p w14:paraId="4A4062F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1" w:type="dxa"/>
            <w:tcBorders>
              <w:top w:val="single" w:color="auto" w:sz="4" w:space="0"/>
              <w:left w:val="single" w:color="auto" w:sz="4" w:space="0"/>
              <w:bottom w:val="single" w:color="auto" w:sz="4" w:space="0"/>
              <w:right w:val="single" w:color="auto" w:sz="4" w:space="0"/>
            </w:tcBorders>
            <w:shd w:val="clear" w:color="auto" w:fill="70AD47"/>
            <w:vAlign w:val="center"/>
          </w:tcPr>
          <w:p w14:paraId="021BA9F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30A95BC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67FB8EC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59A5973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95" w:type="dxa"/>
            <w:tcBorders>
              <w:top w:val="single" w:color="auto" w:sz="4" w:space="0"/>
              <w:left w:val="single" w:color="auto" w:sz="4" w:space="0"/>
              <w:bottom w:val="single" w:color="auto" w:sz="4" w:space="0"/>
              <w:right w:val="single" w:color="auto" w:sz="4" w:space="0"/>
            </w:tcBorders>
            <w:shd w:val="clear" w:color="auto" w:fill="A9D08E"/>
            <w:vAlign w:val="center"/>
          </w:tcPr>
          <w:p w14:paraId="3C66BB5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r>
      <w:tr w14:paraId="421162A6">
        <w:tblPrEx>
          <w:tblCellMar>
            <w:top w:w="0" w:type="dxa"/>
            <w:left w:w="108" w:type="dxa"/>
            <w:bottom w:w="0" w:type="dxa"/>
            <w:right w:w="108" w:type="dxa"/>
          </w:tblCellMar>
        </w:tblPrEx>
        <w:trPr>
          <w:trHeight w:val="510" w:hRule="atLeast"/>
        </w:trPr>
        <w:tc>
          <w:tcPr>
            <w:tcW w:w="708" w:type="pct"/>
            <w:vMerge w:val="restart"/>
            <w:tcBorders>
              <w:top w:val="single" w:color="auto" w:sz="4" w:space="0"/>
              <w:left w:val="single" w:color="auto" w:sz="4" w:space="0"/>
              <w:bottom w:val="single" w:color="auto" w:sz="4" w:space="0"/>
              <w:right w:val="single" w:color="auto" w:sz="4" w:space="0"/>
            </w:tcBorders>
            <w:vAlign w:val="center"/>
          </w:tcPr>
          <w:p w14:paraId="28BF0D7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制造业</w:t>
            </w:r>
          </w:p>
        </w:tc>
        <w:tc>
          <w:tcPr>
            <w:tcW w:w="2417" w:type="dxa"/>
            <w:tcBorders>
              <w:top w:val="single" w:color="auto" w:sz="4" w:space="0"/>
              <w:left w:val="single" w:color="auto" w:sz="4" w:space="0"/>
              <w:bottom w:val="single" w:color="auto" w:sz="4" w:space="0"/>
              <w:right w:val="single" w:color="auto" w:sz="4" w:space="0"/>
            </w:tcBorders>
            <w:vAlign w:val="center"/>
          </w:tcPr>
          <w:p w14:paraId="5369561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C2624-复混肥料制造</w:t>
            </w:r>
          </w:p>
        </w:tc>
        <w:tc>
          <w:tcPr>
            <w:tcW w:w="972" w:type="dxa"/>
            <w:tcBorders>
              <w:top w:val="single" w:color="auto" w:sz="4" w:space="0"/>
              <w:left w:val="single" w:color="auto" w:sz="4" w:space="0"/>
              <w:bottom w:val="single" w:color="auto" w:sz="4" w:space="0"/>
              <w:right w:val="single" w:color="auto" w:sz="4" w:space="0"/>
            </w:tcBorders>
            <w:shd w:val="clear" w:color="auto" w:fill="548235"/>
            <w:vAlign w:val="center"/>
          </w:tcPr>
          <w:p w14:paraId="0021A04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c>
          <w:tcPr>
            <w:tcW w:w="972" w:type="dxa"/>
            <w:tcBorders>
              <w:top w:val="single" w:color="auto" w:sz="4" w:space="0"/>
              <w:left w:val="single" w:color="auto" w:sz="4" w:space="0"/>
              <w:bottom w:val="single" w:color="auto" w:sz="4" w:space="0"/>
              <w:right w:val="single" w:color="auto" w:sz="4" w:space="0"/>
            </w:tcBorders>
            <w:vAlign w:val="center"/>
          </w:tcPr>
          <w:p w14:paraId="6F90374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27F0454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352FD55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548235"/>
            <w:vAlign w:val="center"/>
          </w:tcPr>
          <w:p w14:paraId="66DF217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c>
          <w:tcPr>
            <w:tcW w:w="971" w:type="dxa"/>
            <w:tcBorders>
              <w:top w:val="single" w:color="auto" w:sz="4" w:space="0"/>
              <w:left w:val="single" w:color="auto" w:sz="4" w:space="0"/>
              <w:bottom w:val="single" w:color="auto" w:sz="4" w:space="0"/>
              <w:right w:val="single" w:color="auto" w:sz="4" w:space="0"/>
            </w:tcBorders>
            <w:vAlign w:val="center"/>
          </w:tcPr>
          <w:p w14:paraId="5E2FB2F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001CEAF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5170AA2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08B2B28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95" w:type="dxa"/>
            <w:tcBorders>
              <w:top w:val="single" w:color="auto" w:sz="4" w:space="0"/>
              <w:left w:val="single" w:color="auto" w:sz="4" w:space="0"/>
              <w:bottom w:val="single" w:color="auto" w:sz="4" w:space="0"/>
              <w:right w:val="single" w:color="auto" w:sz="4" w:space="0"/>
            </w:tcBorders>
            <w:vAlign w:val="center"/>
          </w:tcPr>
          <w:p w14:paraId="683556B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57B41E39">
        <w:tblPrEx>
          <w:tblCellMar>
            <w:top w:w="0" w:type="dxa"/>
            <w:left w:w="108" w:type="dxa"/>
            <w:bottom w:w="0" w:type="dxa"/>
            <w:right w:w="108" w:type="dxa"/>
          </w:tblCellMar>
        </w:tblPrEx>
        <w:trPr>
          <w:trHeight w:val="510" w:hRule="atLeast"/>
        </w:trPr>
        <w:tc>
          <w:tcPr>
            <w:tcW w:w="708" w:type="pct"/>
            <w:vMerge w:val="continue"/>
            <w:tcBorders>
              <w:top w:val="single" w:color="auto" w:sz="4" w:space="0"/>
              <w:left w:val="single" w:color="auto" w:sz="4" w:space="0"/>
              <w:bottom w:val="single" w:color="auto" w:sz="4" w:space="0"/>
              <w:right w:val="single" w:color="auto" w:sz="4" w:space="0"/>
            </w:tcBorders>
            <w:vAlign w:val="center"/>
          </w:tcPr>
          <w:p w14:paraId="37E64CD2">
            <w:pPr>
              <w:spacing w:line="240" w:lineRule="auto"/>
              <w:ind w:firstLine="0" w:firstLineChars="0"/>
              <w:jc w:val="center"/>
              <w:textAlignment w:val="center"/>
              <w:rPr>
                <w:rFonts w:eastAsia="宋体" w:cs="Times New Roman"/>
                <w:b/>
                <w:bCs/>
                <w:color w:val="000000"/>
                <w:sz w:val="22"/>
                <w:lang w:bidi="ar"/>
              </w:rPr>
            </w:pPr>
          </w:p>
        </w:tc>
        <w:tc>
          <w:tcPr>
            <w:tcW w:w="2417" w:type="dxa"/>
            <w:tcBorders>
              <w:top w:val="single" w:color="auto" w:sz="4" w:space="0"/>
              <w:left w:val="single" w:color="auto" w:sz="4" w:space="0"/>
              <w:bottom w:val="single" w:color="auto" w:sz="4" w:space="0"/>
              <w:right w:val="single" w:color="auto" w:sz="4" w:space="0"/>
            </w:tcBorders>
            <w:vAlign w:val="center"/>
          </w:tcPr>
          <w:p w14:paraId="112CD96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C2625-有机肥料及微生物肥料制造</w:t>
            </w:r>
          </w:p>
        </w:tc>
        <w:tc>
          <w:tcPr>
            <w:tcW w:w="972" w:type="dxa"/>
            <w:tcBorders>
              <w:top w:val="single" w:color="auto" w:sz="4" w:space="0"/>
              <w:left w:val="single" w:color="auto" w:sz="4" w:space="0"/>
              <w:bottom w:val="single" w:color="auto" w:sz="4" w:space="0"/>
              <w:right w:val="single" w:color="auto" w:sz="4" w:space="0"/>
            </w:tcBorders>
            <w:shd w:val="clear" w:color="auto" w:fill="548235"/>
            <w:vAlign w:val="center"/>
          </w:tcPr>
          <w:p w14:paraId="1249854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c>
          <w:tcPr>
            <w:tcW w:w="972" w:type="dxa"/>
            <w:tcBorders>
              <w:top w:val="single" w:color="auto" w:sz="4" w:space="0"/>
              <w:left w:val="single" w:color="auto" w:sz="4" w:space="0"/>
              <w:bottom w:val="single" w:color="auto" w:sz="4" w:space="0"/>
              <w:right w:val="single" w:color="auto" w:sz="4" w:space="0"/>
            </w:tcBorders>
            <w:vAlign w:val="center"/>
          </w:tcPr>
          <w:p w14:paraId="1015433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36B9889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3D2FB14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548235"/>
            <w:vAlign w:val="center"/>
          </w:tcPr>
          <w:p w14:paraId="2190DC6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VH</w:t>
            </w:r>
          </w:p>
        </w:tc>
        <w:tc>
          <w:tcPr>
            <w:tcW w:w="971" w:type="dxa"/>
            <w:tcBorders>
              <w:top w:val="single" w:color="auto" w:sz="4" w:space="0"/>
              <w:left w:val="single" w:color="auto" w:sz="4" w:space="0"/>
              <w:bottom w:val="single" w:color="auto" w:sz="4" w:space="0"/>
              <w:right w:val="single" w:color="auto" w:sz="4" w:space="0"/>
            </w:tcBorders>
            <w:vAlign w:val="center"/>
          </w:tcPr>
          <w:p w14:paraId="7FCD77A7">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227FFDB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5D88CEC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0BCEFF4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95" w:type="dxa"/>
            <w:tcBorders>
              <w:top w:val="single" w:color="auto" w:sz="4" w:space="0"/>
              <w:left w:val="single" w:color="auto" w:sz="4" w:space="0"/>
              <w:bottom w:val="single" w:color="auto" w:sz="4" w:space="0"/>
              <w:right w:val="single" w:color="auto" w:sz="4" w:space="0"/>
            </w:tcBorders>
            <w:vAlign w:val="center"/>
          </w:tcPr>
          <w:p w14:paraId="54B6EAB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3C621972">
        <w:tblPrEx>
          <w:tblCellMar>
            <w:top w:w="0" w:type="dxa"/>
            <w:left w:w="108" w:type="dxa"/>
            <w:bottom w:w="0" w:type="dxa"/>
            <w:right w:w="108" w:type="dxa"/>
          </w:tblCellMar>
        </w:tblPrEx>
        <w:trPr>
          <w:trHeight w:val="510" w:hRule="atLeast"/>
        </w:trPr>
        <w:tc>
          <w:tcPr>
            <w:tcW w:w="708" w:type="pct"/>
            <w:vMerge w:val="restart"/>
            <w:tcBorders>
              <w:top w:val="single" w:color="auto" w:sz="4" w:space="0"/>
              <w:left w:val="single" w:color="auto" w:sz="4" w:space="0"/>
              <w:right w:val="single" w:color="auto" w:sz="4" w:space="0"/>
            </w:tcBorders>
            <w:vAlign w:val="center"/>
          </w:tcPr>
          <w:p w14:paraId="4D9E09FA">
            <w:pPr>
              <w:spacing w:line="240" w:lineRule="auto"/>
              <w:ind w:firstLine="0" w:firstLineChars="0"/>
              <w:jc w:val="center"/>
              <w:textAlignment w:val="center"/>
              <w:rPr>
                <w:rFonts w:eastAsia="宋体" w:cs="Times New Roman"/>
                <w:b/>
                <w:bCs/>
                <w:color w:val="000000"/>
                <w:sz w:val="22"/>
                <w:lang w:bidi="ar"/>
              </w:rPr>
            </w:pPr>
          </w:p>
        </w:tc>
        <w:tc>
          <w:tcPr>
            <w:tcW w:w="2417" w:type="dxa"/>
            <w:tcBorders>
              <w:top w:val="single" w:color="auto" w:sz="4" w:space="0"/>
              <w:left w:val="single" w:color="auto" w:sz="4" w:space="0"/>
              <w:bottom w:val="single" w:color="auto" w:sz="4" w:space="0"/>
              <w:right w:val="single" w:color="auto" w:sz="4" w:space="0"/>
            </w:tcBorders>
            <w:vAlign w:val="center"/>
          </w:tcPr>
          <w:p w14:paraId="0341E92A">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C3441-泵及真空设备制造</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631150F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vAlign w:val="center"/>
          </w:tcPr>
          <w:p w14:paraId="3E0FB9EF">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2" w:type="dxa"/>
            <w:tcBorders>
              <w:top w:val="single" w:color="auto" w:sz="4" w:space="0"/>
              <w:left w:val="single" w:color="auto" w:sz="4" w:space="0"/>
              <w:bottom w:val="single" w:color="auto" w:sz="4" w:space="0"/>
              <w:right w:val="single" w:color="auto" w:sz="4" w:space="0"/>
            </w:tcBorders>
            <w:shd w:val="clear" w:color="auto" w:fill="C6E0B4"/>
            <w:vAlign w:val="center"/>
          </w:tcPr>
          <w:p w14:paraId="225756E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0CCB2F8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35CC048D">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vAlign w:val="center"/>
          </w:tcPr>
          <w:p w14:paraId="4D19FEF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387DA931">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44B6FE6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21B6E120">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95" w:type="dxa"/>
            <w:tcBorders>
              <w:top w:val="single" w:color="auto" w:sz="4" w:space="0"/>
              <w:left w:val="single" w:color="auto" w:sz="4" w:space="0"/>
              <w:bottom w:val="single" w:color="auto" w:sz="4" w:space="0"/>
              <w:right w:val="single" w:color="auto" w:sz="4" w:space="0"/>
            </w:tcBorders>
            <w:vAlign w:val="center"/>
          </w:tcPr>
          <w:p w14:paraId="430B2CD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132877DC">
        <w:tblPrEx>
          <w:tblCellMar>
            <w:top w:w="0" w:type="dxa"/>
            <w:left w:w="108" w:type="dxa"/>
            <w:bottom w:w="0" w:type="dxa"/>
            <w:right w:w="108" w:type="dxa"/>
          </w:tblCellMar>
        </w:tblPrEx>
        <w:trPr>
          <w:trHeight w:val="510" w:hRule="atLeast"/>
        </w:trPr>
        <w:tc>
          <w:tcPr>
            <w:tcW w:w="708" w:type="pct"/>
            <w:vMerge w:val="continue"/>
            <w:tcBorders>
              <w:left w:val="single" w:color="auto" w:sz="4" w:space="0"/>
              <w:right w:val="single" w:color="auto" w:sz="4" w:space="0"/>
            </w:tcBorders>
            <w:vAlign w:val="center"/>
          </w:tcPr>
          <w:p w14:paraId="201987DF">
            <w:pPr>
              <w:spacing w:line="240" w:lineRule="auto"/>
              <w:ind w:firstLine="0" w:firstLineChars="0"/>
              <w:jc w:val="center"/>
              <w:textAlignment w:val="center"/>
              <w:rPr>
                <w:rFonts w:eastAsia="宋体" w:cs="Times New Roman"/>
                <w:b/>
                <w:bCs/>
                <w:color w:val="000000"/>
                <w:sz w:val="22"/>
                <w:lang w:bidi="ar"/>
              </w:rPr>
            </w:pPr>
          </w:p>
        </w:tc>
        <w:tc>
          <w:tcPr>
            <w:tcW w:w="2417" w:type="dxa"/>
            <w:tcBorders>
              <w:top w:val="single" w:color="auto" w:sz="4" w:space="0"/>
              <w:left w:val="single" w:color="auto" w:sz="4" w:space="0"/>
              <w:bottom w:val="single" w:color="auto" w:sz="4" w:space="0"/>
              <w:right w:val="single" w:color="auto" w:sz="4" w:space="0"/>
            </w:tcBorders>
            <w:vAlign w:val="center"/>
          </w:tcPr>
          <w:p w14:paraId="246D25B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C3825-光伏设备及元器件制造</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74D36D3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vAlign w:val="center"/>
          </w:tcPr>
          <w:p w14:paraId="7E8F35E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2" w:type="dxa"/>
            <w:tcBorders>
              <w:top w:val="single" w:color="auto" w:sz="4" w:space="0"/>
              <w:left w:val="single" w:color="auto" w:sz="4" w:space="0"/>
              <w:bottom w:val="single" w:color="auto" w:sz="4" w:space="0"/>
              <w:right w:val="single" w:color="auto" w:sz="4" w:space="0"/>
            </w:tcBorders>
            <w:shd w:val="clear" w:color="auto" w:fill="E2EFDA"/>
            <w:vAlign w:val="center"/>
          </w:tcPr>
          <w:p w14:paraId="51E13ED6">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VL</w:t>
            </w:r>
          </w:p>
        </w:tc>
        <w:tc>
          <w:tcPr>
            <w:tcW w:w="972" w:type="dxa"/>
            <w:tcBorders>
              <w:top w:val="single" w:color="auto" w:sz="4" w:space="0"/>
              <w:left w:val="single" w:color="auto" w:sz="4" w:space="0"/>
              <w:bottom w:val="single" w:color="auto" w:sz="4" w:space="0"/>
              <w:right w:val="single" w:color="auto" w:sz="4" w:space="0"/>
            </w:tcBorders>
            <w:shd w:val="clear" w:color="auto" w:fill="C6E0B4"/>
            <w:vAlign w:val="center"/>
          </w:tcPr>
          <w:p w14:paraId="4E20831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70AD47"/>
            <w:vAlign w:val="center"/>
          </w:tcPr>
          <w:p w14:paraId="6AA16DD2">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1" w:type="dxa"/>
            <w:tcBorders>
              <w:top w:val="single" w:color="auto" w:sz="4" w:space="0"/>
              <w:left w:val="single" w:color="auto" w:sz="4" w:space="0"/>
              <w:bottom w:val="single" w:color="auto" w:sz="4" w:space="0"/>
              <w:right w:val="single" w:color="auto" w:sz="4" w:space="0"/>
            </w:tcBorders>
            <w:vAlign w:val="center"/>
          </w:tcPr>
          <w:p w14:paraId="3531802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20BDB0E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4AB773A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71" w:type="dxa"/>
            <w:tcBorders>
              <w:top w:val="single" w:color="auto" w:sz="4" w:space="0"/>
              <w:left w:val="single" w:color="auto" w:sz="4" w:space="0"/>
              <w:bottom w:val="single" w:color="auto" w:sz="4" w:space="0"/>
              <w:right w:val="single" w:color="auto" w:sz="4" w:space="0"/>
            </w:tcBorders>
            <w:shd w:val="clear" w:color="auto" w:fill="C6E0B4"/>
            <w:vAlign w:val="center"/>
          </w:tcPr>
          <w:p w14:paraId="0A04C019">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L</w:t>
            </w:r>
          </w:p>
        </w:tc>
        <w:tc>
          <w:tcPr>
            <w:tcW w:w="995" w:type="dxa"/>
            <w:tcBorders>
              <w:top w:val="single" w:color="auto" w:sz="4" w:space="0"/>
              <w:left w:val="single" w:color="auto" w:sz="4" w:space="0"/>
              <w:bottom w:val="single" w:color="auto" w:sz="4" w:space="0"/>
              <w:right w:val="single" w:color="auto" w:sz="4" w:space="0"/>
            </w:tcBorders>
            <w:vAlign w:val="center"/>
          </w:tcPr>
          <w:p w14:paraId="06662B5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r>
      <w:tr w14:paraId="52326F15">
        <w:tblPrEx>
          <w:tblCellMar>
            <w:top w:w="0" w:type="dxa"/>
            <w:left w:w="108" w:type="dxa"/>
            <w:bottom w:w="0" w:type="dxa"/>
            <w:right w:w="108" w:type="dxa"/>
          </w:tblCellMar>
        </w:tblPrEx>
        <w:trPr>
          <w:trHeight w:val="510" w:hRule="atLeast"/>
        </w:trPr>
        <w:tc>
          <w:tcPr>
            <w:tcW w:w="708" w:type="pct"/>
            <w:vMerge w:val="continue"/>
            <w:tcBorders>
              <w:left w:val="single" w:color="auto" w:sz="4" w:space="0"/>
              <w:bottom w:val="single" w:color="auto" w:sz="4" w:space="0"/>
              <w:right w:val="single" w:color="auto" w:sz="4" w:space="0"/>
            </w:tcBorders>
            <w:vAlign w:val="center"/>
          </w:tcPr>
          <w:p w14:paraId="5415BABB">
            <w:pPr>
              <w:spacing w:line="240" w:lineRule="auto"/>
              <w:ind w:firstLine="0" w:firstLineChars="0"/>
              <w:jc w:val="center"/>
              <w:textAlignment w:val="center"/>
              <w:rPr>
                <w:rFonts w:eastAsia="宋体" w:cs="Times New Roman"/>
                <w:b/>
                <w:bCs/>
                <w:color w:val="000000"/>
                <w:sz w:val="22"/>
                <w:lang w:bidi="ar"/>
              </w:rPr>
            </w:pPr>
          </w:p>
        </w:tc>
        <w:tc>
          <w:tcPr>
            <w:tcW w:w="2417" w:type="dxa"/>
            <w:tcBorders>
              <w:top w:val="single" w:color="auto" w:sz="4" w:space="0"/>
              <w:left w:val="single" w:color="auto" w:sz="4" w:space="0"/>
              <w:bottom w:val="single" w:color="auto" w:sz="4" w:space="0"/>
              <w:right w:val="single" w:color="auto" w:sz="4" w:space="0"/>
            </w:tcBorders>
            <w:vAlign w:val="center"/>
          </w:tcPr>
          <w:p w14:paraId="7B8D44F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C4220-非金属废料和碎屑加工处理</w:t>
            </w:r>
          </w:p>
        </w:tc>
        <w:tc>
          <w:tcPr>
            <w:tcW w:w="972" w:type="dxa"/>
            <w:tcBorders>
              <w:top w:val="single" w:color="auto" w:sz="4" w:space="0"/>
              <w:left w:val="single" w:color="auto" w:sz="4" w:space="0"/>
              <w:bottom w:val="single" w:color="auto" w:sz="4" w:space="0"/>
              <w:right w:val="single" w:color="auto" w:sz="4" w:space="0"/>
            </w:tcBorders>
            <w:shd w:val="clear" w:color="auto" w:fill="70AD47"/>
            <w:vAlign w:val="center"/>
          </w:tcPr>
          <w:p w14:paraId="56E716A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H</w:t>
            </w:r>
          </w:p>
        </w:tc>
        <w:tc>
          <w:tcPr>
            <w:tcW w:w="972" w:type="dxa"/>
            <w:tcBorders>
              <w:top w:val="single" w:color="auto" w:sz="4" w:space="0"/>
              <w:left w:val="single" w:color="auto" w:sz="4" w:space="0"/>
              <w:bottom w:val="single" w:color="auto" w:sz="4" w:space="0"/>
              <w:right w:val="single" w:color="auto" w:sz="4" w:space="0"/>
            </w:tcBorders>
            <w:vAlign w:val="center"/>
          </w:tcPr>
          <w:p w14:paraId="588E743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572E4D44">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2" w:type="dxa"/>
            <w:tcBorders>
              <w:top w:val="single" w:color="auto" w:sz="4" w:space="0"/>
              <w:left w:val="single" w:color="auto" w:sz="4" w:space="0"/>
              <w:bottom w:val="single" w:color="auto" w:sz="4" w:space="0"/>
              <w:right w:val="single" w:color="auto" w:sz="4" w:space="0"/>
            </w:tcBorders>
            <w:shd w:val="clear" w:color="auto" w:fill="A9D08E"/>
            <w:vAlign w:val="center"/>
          </w:tcPr>
          <w:p w14:paraId="4A1FD8E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51CEC83E">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vAlign w:val="center"/>
          </w:tcPr>
          <w:p w14:paraId="54734C6C">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N/A</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6F3656A5">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4F41B388">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71" w:type="dxa"/>
            <w:tcBorders>
              <w:top w:val="single" w:color="auto" w:sz="4" w:space="0"/>
              <w:left w:val="single" w:color="auto" w:sz="4" w:space="0"/>
              <w:bottom w:val="single" w:color="auto" w:sz="4" w:space="0"/>
              <w:right w:val="single" w:color="auto" w:sz="4" w:space="0"/>
            </w:tcBorders>
            <w:shd w:val="clear" w:color="auto" w:fill="A9D08E"/>
            <w:vAlign w:val="center"/>
          </w:tcPr>
          <w:p w14:paraId="064C55D3">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c>
          <w:tcPr>
            <w:tcW w:w="995" w:type="dxa"/>
            <w:tcBorders>
              <w:top w:val="single" w:color="auto" w:sz="4" w:space="0"/>
              <w:left w:val="single" w:color="auto" w:sz="4" w:space="0"/>
              <w:bottom w:val="single" w:color="auto" w:sz="4" w:space="0"/>
              <w:right w:val="single" w:color="auto" w:sz="4" w:space="0"/>
            </w:tcBorders>
            <w:shd w:val="clear" w:color="auto" w:fill="A9D08E"/>
            <w:vAlign w:val="center"/>
          </w:tcPr>
          <w:p w14:paraId="11F2E5FB">
            <w:pPr>
              <w:spacing w:line="240" w:lineRule="auto"/>
              <w:ind w:firstLine="0" w:firstLineChars="0"/>
              <w:jc w:val="center"/>
              <w:textAlignment w:val="center"/>
              <w:rPr>
                <w:rFonts w:eastAsia="宋体" w:cs="Times New Roman"/>
                <w:color w:val="000000"/>
                <w:sz w:val="22"/>
              </w:rPr>
            </w:pPr>
            <w:r>
              <w:rPr>
                <w:rFonts w:eastAsia="宋体" w:cs="Times New Roman"/>
                <w:color w:val="000000"/>
                <w:sz w:val="22"/>
                <w:lang w:bidi="ar"/>
              </w:rPr>
              <w:t>M</w:t>
            </w:r>
          </w:p>
        </w:tc>
      </w:tr>
    </w:tbl>
    <w:p w14:paraId="244AA1FA">
      <w:pPr>
        <w:spacing w:after="200" w:line="276" w:lineRule="auto"/>
        <w:ind w:firstLine="0" w:firstLineChars="0"/>
        <w:jc w:val="right"/>
        <w:rPr>
          <w:rFonts w:ascii="宋体" w:hAnsi="宋体" w:eastAsia="宋体" w:cs="宋体"/>
        </w:rPr>
      </w:pPr>
    </w:p>
    <w:tbl>
      <w:tblPr>
        <w:tblStyle w:val="4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
        <w:gridCol w:w="903"/>
        <w:gridCol w:w="903"/>
        <w:gridCol w:w="903"/>
        <w:gridCol w:w="906"/>
      </w:tblGrid>
      <w:tr w14:paraId="176B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right"/>
        </w:trPr>
        <w:tc>
          <w:tcPr>
            <w:tcW w:w="903" w:type="dxa"/>
            <w:tcBorders>
              <w:top w:val="nil"/>
              <w:left w:val="nil"/>
              <w:bottom w:val="nil"/>
              <w:right w:val="nil"/>
            </w:tcBorders>
            <w:vAlign w:val="center"/>
          </w:tcPr>
          <w:p w14:paraId="07A77FD0">
            <w:pPr>
              <w:widowControl/>
              <w:ind w:firstLine="0" w:firstLineChars="0"/>
              <w:jc w:val="center"/>
              <w:rPr>
                <w:rFonts w:ascii="宋体" w:hAnsi="宋体" w:eastAsia="宋体" w:cs="宋体"/>
                <w:sz w:val="20"/>
                <w:szCs w:val="16"/>
              </w:rPr>
            </w:pPr>
            <w:r>
              <w:rPr>
                <w:rFonts w:eastAsia="宋体" w:cs="Times New Roman"/>
                <w:sz w:val="20"/>
                <w:szCs w:val="16"/>
              </w:rPr>
              <w:t>VH</w:t>
            </w:r>
          </w:p>
        </w:tc>
        <w:tc>
          <w:tcPr>
            <w:tcW w:w="903" w:type="dxa"/>
            <w:tcBorders>
              <w:top w:val="nil"/>
              <w:left w:val="nil"/>
              <w:bottom w:val="nil"/>
              <w:right w:val="nil"/>
            </w:tcBorders>
            <w:vAlign w:val="center"/>
          </w:tcPr>
          <w:p w14:paraId="26EA54FC">
            <w:pPr>
              <w:widowControl/>
              <w:ind w:firstLine="0" w:firstLineChars="0"/>
              <w:jc w:val="center"/>
              <w:rPr>
                <w:rFonts w:ascii="宋体" w:hAnsi="宋体" w:eastAsia="宋体" w:cs="宋体"/>
                <w:sz w:val="20"/>
                <w:szCs w:val="16"/>
              </w:rPr>
            </w:pPr>
            <w:r>
              <w:rPr>
                <w:rFonts w:eastAsia="宋体" w:cs="Times New Roman"/>
                <w:sz w:val="20"/>
                <w:szCs w:val="16"/>
              </w:rPr>
              <w:t>H</w:t>
            </w:r>
          </w:p>
        </w:tc>
        <w:tc>
          <w:tcPr>
            <w:tcW w:w="903" w:type="dxa"/>
            <w:tcBorders>
              <w:top w:val="nil"/>
              <w:left w:val="nil"/>
              <w:bottom w:val="nil"/>
              <w:right w:val="nil"/>
            </w:tcBorders>
            <w:vAlign w:val="center"/>
          </w:tcPr>
          <w:p w14:paraId="5D1999F3">
            <w:pPr>
              <w:widowControl/>
              <w:ind w:firstLine="0" w:firstLineChars="0"/>
              <w:jc w:val="center"/>
              <w:rPr>
                <w:rFonts w:ascii="宋体" w:hAnsi="宋体" w:eastAsia="宋体" w:cs="宋体"/>
                <w:sz w:val="20"/>
                <w:szCs w:val="16"/>
              </w:rPr>
            </w:pPr>
            <w:r>
              <w:rPr>
                <w:rFonts w:eastAsia="宋体" w:cs="Times New Roman"/>
                <w:sz w:val="20"/>
                <w:szCs w:val="16"/>
              </w:rPr>
              <w:t>M</w:t>
            </w:r>
          </w:p>
        </w:tc>
        <w:tc>
          <w:tcPr>
            <w:tcW w:w="903" w:type="dxa"/>
            <w:tcBorders>
              <w:top w:val="nil"/>
              <w:left w:val="nil"/>
              <w:bottom w:val="nil"/>
              <w:right w:val="nil"/>
            </w:tcBorders>
            <w:vAlign w:val="center"/>
          </w:tcPr>
          <w:p w14:paraId="017F5BC5">
            <w:pPr>
              <w:widowControl/>
              <w:ind w:firstLine="0" w:firstLineChars="0"/>
              <w:jc w:val="center"/>
              <w:rPr>
                <w:rFonts w:ascii="宋体" w:hAnsi="宋体" w:eastAsia="宋体" w:cs="宋体"/>
                <w:sz w:val="20"/>
                <w:szCs w:val="16"/>
              </w:rPr>
            </w:pPr>
            <w:r>
              <w:rPr>
                <w:rFonts w:eastAsia="宋体" w:cs="Times New Roman"/>
                <w:sz w:val="20"/>
                <w:szCs w:val="16"/>
              </w:rPr>
              <w:t>L</w:t>
            </w:r>
          </w:p>
        </w:tc>
        <w:tc>
          <w:tcPr>
            <w:tcW w:w="906" w:type="dxa"/>
            <w:tcBorders>
              <w:top w:val="nil"/>
              <w:left w:val="nil"/>
              <w:bottom w:val="nil"/>
              <w:right w:val="nil"/>
            </w:tcBorders>
            <w:vAlign w:val="center"/>
          </w:tcPr>
          <w:p w14:paraId="4C3D07E8">
            <w:pPr>
              <w:widowControl/>
              <w:ind w:firstLine="0" w:firstLineChars="0"/>
              <w:jc w:val="center"/>
              <w:rPr>
                <w:rFonts w:ascii="宋体" w:hAnsi="宋体" w:eastAsia="宋体" w:cs="宋体"/>
                <w:sz w:val="20"/>
                <w:szCs w:val="16"/>
              </w:rPr>
            </w:pPr>
            <w:r>
              <w:rPr>
                <w:rFonts w:eastAsia="宋体" w:cs="Times New Roman"/>
                <w:sz w:val="20"/>
                <w:szCs w:val="16"/>
              </w:rPr>
              <w:t>VL</w:t>
            </w:r>
          </w:p>
        </w:tc>
      </w:tr>
      <w:tr w14:paraId="6CA2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exact"/>
          <w:jc w:val="right"/>
        </w:trPr>
        <w:tc>
          <w:tcPr>
            <w:tcW w:w="903" w:type="dxa"/>
            <w:tcBorders>
              <w:top w:val="nil"/>
              <w:left w:val="nil"/>
              <w:bottom w:val="nil"/>
              <w:right w:val="nil"/>
            </w:tcBorders>
            <w:shd w:val="clear" w:color="auto" w:fill="538135" w:themeFill="accent6" w:themeFillShade="BF"/>
            <w:vAlign w:val="center"/>
          </w:tcPr>
          <w:p w14:paraId="3B7DD3FF">
            <w:pPr>
              <w:widowControl/>
              <w:ind w:firstLine="0" w:firstLineChars="0"/>
              <w:jc w:val="center"/>
              <w:rPr>
                <w:rFonts w:ascii="宋体" w:hAnsi="宋体" w:eastAsia="宋体" w:cs="宋体"/>
                <w:sz w:val="15"/>
                <w:szCs w:val="11"/>
              </w:rPr>
            </w:pPr>
          </w:p>
        </w:tc>
        <w:tc>
          <w:tcPr>
            <w:tcW w:w="903" w:type="dxa"/>
            <w:tcBorders>
              <w:top w:val="nil"/>
              <w:left w:val="nil"/>
              <w:bottom w:val="nil"/>
              <w:right w:val="nil"/>
            </w:tcBorders>
            <w:shd w:val="clear" w:color="auto" w:fill="70AD47" w:themeFill="accent6"/>
            <w:vAlign w:val="center"/>
          </w:tcPr>
          <w:p w14:paraId="3EE838A2">
            <w:pPr>
              <w:widowControl/>
              <w:ind w:firstLine="0" w:firstLineChars="0"/>
              <w:jc w:val="center"/>
              <w:rPr>
                <w:rFonts w:ascii="宋体" w:hAnsi="宋体" w:eastAsia="宋体" w:cs="宋体"/>
                <w:sz w:val="15"/>
                <w:szCs w:val="11"/>
              </w:rPr>
            </w:pPr>
          </w:p>
        </w:tc>
        <w:tc>
          <w:tcPr>
            <w:tcW w:w="903" w:type="dxa"/>
            <w:tcBorders>
              <w:top w:val="nil"/>
              <w:left w:val="nil"/>
              <w:bottom w:val="nil"/>
              <w:right w:val="nil"/>
            </w:tcBorders>
            <w:shd w:val="clear" w:color="auto" w:fill="A8D08D" w:themeFill="accent6" w:themeFillTint="99"/>
            <w:vAlign w:val="center"/>
          </w:tcPr>
          <w:p w14:paraId="25C16B09">
            <w:pPr>
              <w:widowControl/>
              <w:ind w:firstLine="0" w:firstLineChars="0"/>
              <w:jc w:val="center"/>
              <w:rPr>
                <w:rFonts w:ascii="宋体" w:hAnsi="宋体" w:eastAsia="宋体" w:cs="宋体"/>
                <w:sz w:val="15"/>
                <w:szCs w:val="11"/>
              </w:rPr>
            </w:pPr>
          </w:p>
        </w:tc>
        <w:tc>
          <w:tcPr>
            <w:tcW w:w="903" w:type="dxa"/>
            <w:tcBorders>
              <w:top w:val="nil"/>
              <w:left w:val="nil"/>
              <w:bottom w:val="nil"/>
              <w:right w:val="nil"/>
            </w:tcBorders>
            <w:shd w:val="clear" w:color="auto" w:fill="C5E0B3" w:themeFill="accent6" w:themeFillTint="66"/>
            <w:vAlign w:val="center"/>
          </w:tcPr>
          <w:p w14:paraId="1D4EAE7F">
            <w:pPr>
              <w:widowControl/>
              <w:ind w:firstLine="0" w:firstLineChars="0"/>
              <w:jc w:val="center"/>
              <w:rPr>
                <w:rFonts w:ascii="宋体" w:hAnsi="宋体" w:eastAsia="宋体" w:cs="宋体"/>
                <w:sz w:val="15"/>
                <w:szCs w:val="11"/>
              </w:rPr>
            </w:pPr>
          </w:p>
        </w:tc>
        <w:tc>
          <w:tcPr>
            <w:tcW w:w="906" w:type="dxa"/>
            <w:tcBorders>
              <w:top w:val="nil"/>
              <w:left w:val="nil"/>
              <w:bottom w:val="nil"/>
              <w:right w:val="nil"/>
            </w:tcBorders>
            <w:shd w:val="clear" w:color="auto" w:fill="E2EFDA" w:themeFill="accent6" w:themeFillTint="32"/>
            <w:vAlign w:val="center"/>
          </w:tcPr>
          <w:p w14:paraId="215F2DCB">
            <w:pPr>
              <w:widowControl/>
              <w:ind w:firstLine="0" w:firstLineChars="0"/>
              <w:jc w:val="center"/>
              <w:rPr>
                <w:rFonts w:ascii="宋体" w:hAnsi="宋体" w:eastAsia="宋体" w:cs="宋体"/>
                <w:sz w:val="15"/>
                <w:szCs w:val="11"/>
              </w:rPr>
            </w:pPr>
          </w:p>
        </w:tc>
      </w:tr>
      <w:tr w14:paraId="5063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exact"/>
          <w:jc w:val="right"/>
        </w:trPr>
        <w:tc>
          <w:tcPr>
            <w:tcW w:w="903" w:type="dxa"/>
            <w:tcBorders>
              <w:top w:val="nil"/>
              <w:left w:val="nil"/>
              <w:bottom w:val="nil"/>
              <w:right w:val="nil"/>
            </w:tcBorders>
            <w:vAlign w:val="center"/>
          </w:tcPr>
          <w:p w14:paraId="2617C8F2">
            <w:pPr>
              <w:widowControl/>
              <w:ind w:firstLine="0" w:firstLineChars="0"/>
              <w:jc w:val="center"/>
              <w:rPr>
                <w:rFonts w:ascii="宋体" w:hAnsi="宋体" w:eastAsia="宋体" w:cs="宋体"/>
                <w:sz w:val="20"/>
                <w:szCs w:val="20"/>
              </w:rPr>
            </w:pPr>
            <w:r>
              <w:rPr>
                <w:rFonts w:hint="eastAsia" w:ascii="宋体" w:hAnsi="宋体" w:eastAsia="宋体" w:cs="宋体"/>
                <w:sz w:val="20"/>
                <w:szCs w:val="20"/>
              </w:rPr>
              <w:t>非常高</w:t>
            </w:r>
          </w:p>
        </w:tc>
        <w:tc>
          <w:tcPr>
            <w:tcW w:w="903" w:type="dxa"/>
            <w:tcBorders>
              <w:top w:val="nil"/>
              <w:left w:val="nil"/>
              <w:bottom w:val="nil"/>
              <w:right w:val="nil"/>
            </w:tcBorders>
            <w:vAlign w:val="center"/>
          </w:tcPr>
          <w:p w14:paraId="132ADB7E">
            <w:pPr>
              <w:widowControl/>
              <w:ind w:firstLine="0" w:firstLineChars="0"/>
              <w:jc w:val="center"/>
              <w:rPr>
                <w:rFonts w:ascii="宋体" w:hAnsi="宋体" w:eastAsia="宋体" w:cs="宋体"/>
                <w:sz w:val="20"/>
                <w:szCs w:val="20"/>
              </w:rPr>
            </w:pPr>
            <w:r>
              <w:rPr>
                <w:rFonts w:hint="eastAsia" w:ascii="宋体" w:hAnsi="宋体" w:eastAsia="宋体" w:cs="宋体"/>
                <w:sz w:val="20"/>
                <w:szCs w:val="20"/>
              </w:rPr>
              <w:t>高</w:t>
            </w:r>
          </w:p>
        </w:tc>
        <w:tc>
          <w:tcPr>
            <w:tcW w:w="903" w:type="dxa"/>
            <w:tcBorders>
              <w:top w:val="nil"/>
              <w:left w:val="nil"/>
              <w:bottom w:val="nil"/>
              <w:right w:val="nil"/>
            </w:tcBorders>
            <w:vAlign w:val="center"/>
          </w:tcPr>
          <w:p w14:paraId="24687D55">
            <w:pPr>
              <w:widowControl/>
              <w:ind w:firstLine="0" w:firstLineChars="0"/>
              <w:jc w:val="center"/>
              <w:rPr>
                <w:rFonts w:ascii="宋体" w:hAnsi="宋体" w:eastAsia="宋体" w:cs="宋体"/>
                <w:sz w:val="20"/>
                <w:szCs w:val="20"/>
              </w:rPr>
            </w:pPr>
            <w:r>
              <w:rPr>
                <w:rFonts w:hint="eastAsia" w:ascii="宋体" w:hAnsi="宋体" w:eastAsia="宋体" w:cs="宋体"/>
                <w:sz w:val="20"/>
                <w:szCs w:val="20"/>
              </w:rPr>
              <w:t>中</w:t>
            </w:r>
          </w:p>
        </w:tc>
        <w:tc>
          <w:tcPr>
            <w:tcW w:w="903" w:type="dxa"/>
            <w:tcBorders>
              <w:top w:val="nil"/>
              <w:left w:val="nil"/>
              <w:bottom w:val="nil"/>
              <w:right w:val="nil"/>
            </w:tcBorders>
            <w:vAlign w:val="center"/>
          </w:tcPr>
          <w:p w14:paraId="5616BB6F">
            <w:pPr>
              <w:widowControl/>
              <w:ind w:firstLine="0" w:firstLineChars="0"/>
              <w:jc w:val="center"/>
              <w:rPr>
                <w:rFonts w:ascii="宋体" w:hAnsi="宋体" w:eastAsia="宋体" w:cs="宋体"/>
                <w:sz w:val="20"/>
                <w:szCs w:val="20"/>
              </w:rPr>
            </w:pPr>
            <w:r>
              <w:rPr>
                <w:rFonts w:hint="eastAsia" w:ascii="宋体" w:hAnsi="宋体" w:eastAsia="宋体" w:cs="宋体"/>
                <w:sz w:val="20"/>
                <w:szCs w:val="20"/>
              </w:rPr>
              <w:t>低</w:t>
            </w:r>
          </w:p>
        </w:tc>
        <w:tc>
          <w:tcPr>
            <w:tcW w:w="906" w:type="dxa"/>
            <w:tcBorders>
              <w:top w:val="nil"/>
              <w:left w:val="nil"/>
              <w:bottom w:val="nil"/>
              <w:right w:val="nil"/>
            </w:tcBorders>
            <w:vAlign w:val="center"/>
          </w:tcPr>
          <w:p w14:paraId="09A306F1">
            <w:pPr>
              <w:widowControl/>
              <w:ind w:firstLine="0" w:firstLineChars="0"/>
              <w:jc w:val="center"/>
              <w:rPr>
                <w:rFonts w:ascii="宋体" w:hAnsi="宋体" w:eastAsia="宋体" w:cs="宋体"/>
                <w:sz w:val="20"/>
                <w:szCs w:val="20"/>
              </w:rPr>
            </w:pPr>
            <w:r>
              <w:rPr>
                <w:rFonts w:hint="eastAsia" w:ascii="宋体" w:hAnsi="宋体" w:eastAsia="宋体" w:cs="宋体"/>
                <w:sz w:val="20"/>
                <w:szCs w:val="20"/>
              </w:rPr>
              <w:t>非常低</w:t>
            </w:r>
          </w:p>
        </w:tc>
      </w:tr>
    </w:tbl>
    <w:p w14:paraId="27E8DB16">
      <w:pPr>
        <w:spacing w:after="200" w:line="276" w:lineRule="auto"/>
        <w:ind w:firstLine="0" w:firstLineChars="0"/>
        <w:jc w:val="right"/>
        <w:rPr>
          <w:rFonts w:ascii="宋体" w:hAnsi="宋体" w:eastAsia="宋体" w:cs="宋体"/>
        </w:rPr>
      </w:pPr>
    </w:p>
    <w:p w14:paraId="07A0618D">
      <w:pPr>
        <w:spacing w:after="200" w:line="276" w:lineRule="auto"/>
        <w:ind w:firstLine="0" w:firstLineChars="0"/>
        <w:jc w:val="center"/>
        <w:rPr>
          <w:rFonts w:ascii="宋体" w:hAnsi="宋体" w:eastAsia="宋体" w:cs="宋体"/>
        </w:rPr>
        <w:sectPr>
          <w:pgSz w:w="16838" w:h="11906" w:orient="landscape"/>
          <w:pgMar w:top="1800" w:right="1440" w:bottom="1800" w:left="1440" w:header="851" w:footer="992" w:gutter="0"/>
          <w:cols w:space="425" w:num="1"/>
          <w:titlePg/>
          <w:docGrid w:type="lines" w:linePitch="381" w:charSpace="0"/>
        </w:sectPr>
      </w:pPr>
    </w:p>
    <w:p w14:paraId="1801616A">
      <w:pPr>
        <w:pStyle w:val="14"/>
        <w:rPr>
          <w:rFonts w:ascii="宋体" w:hAnsi="宋体" w:eastAsia="宋体" w:cs="宋体"/>
        </w:rPr>
      </w:pPr>
      <w:r>
        <w:drawing>
          <wp:inline distT="0" distB="0" distL="114300" distR="114300">
            <wp:extent cx="5268595" cy="6322695"/>
            <wp:effectExtent l="4445" t="4445" r="15240" b="1270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rFonts w:hint="eastAsia"/>
        </w:rPr>
        <w:t>图</w:t>
      </w:r>
      <w:r>
        <w:rPr>
          <w:rFonts w:cs="Times New Roman"/>
        </w:rPr>
        <w:t>4</w:t>
      </w:r>
      <w:r>
        <w:rPr>
          <w:rFonts w:hint="eastAsia"/>
        </w:rPr>
        <w:t>.</w:t>
      </w:r>
      <w:r>
        <w:rPr>
          <w:rFonts w:hint="eastAsia" w:ascii="宋体" w:hAnsi="宋体" w:eastAsia="宋体" w:cs="宋体"/>
        </w:rPr>
        <w:t>乌海银行</w:t>
      </w:r>
      <w:r>
        <w:rPr>
          <w:rFonts w:eastAsia="宋体" w:cs="Times New Roman"/>
        </w:rPr>
        <w:t>2025年末绿色信贷资产行业</w:t>
      </w:r>
      <w:r>
        <w:rPr>
          <w:rFonts w:hint="eastAsia" w:ascii="宋体" w:hAnsi="宋体" w:eastAsia="宋体" w:cs="宋体"/>
        </w:rPr>
        <w:t>的自然相关因素影响程度分布</w:t>
      </w:r>
    </w:p>
    <w:p w14:paraId="5A778F79">
      <w:pPr>
        <w:spacing w:after="200"/>
        <w:ind w:firstLine="560"/>
        <w:rPr>
          <w:rFonts w:ascii="宋体" w:hAnsi="宋体" w:eastAsia="宋体" w:cs="宋体"/>
          <w:highlight w:val="yellow"/>
        </w:rPr>
        <w:sectPr>
          <w:pgSz w:w="11906" w:h="16838"/>
          <w:pgMar w:top="1440" w:right="1800" w:bottom="1440" w:left="1800" w:header="851" w:footer="992" w:gutter="0"/>
          <w:cols w:space="425" w:num="1"/>
          <w:titlePg/>
          <w:docGrid w:type="lines" w:linePitch="381" w:charSpace="0"/>
        </w:sectPr>
      </w:pPr>
      <w:r>
        <w:rPr>
          <w:rFonts w:hint="eastAsia" w:ascii="宋体" w:hAnsi="宋体" w:eastAsia="宋体" w:cs="宋体"/>
        </w:rPr>
        <w:t>综合</w:t>
      </w:r>
      <w:r>
        <w:rPr>
          <w:rFonts w:eastAsia="宋体" w:cs="Times New Roman"/>
        </w:rPr>
        <w:t>2025</w:t>
      </w:r>
      <w:r>
        <w:rPr>
          <w:rFonts w:hint="eastAsia" w:ascii="宋体" w:hAnsi="宋体" w:eastAsia="宋体" w:cs="宋体"/>
        </w:rPr>
        <w:t>年末绿色信贷资产余额以及自然相关因素影响程度的分布结果来看，绿色信贷资产余额所涉及的行业对自然环境也会产生一定影响，其中，“干扰活动（噪音、光线）”“温室气体排放”和“有毒污染物水土排放”是</w:t>
      </w:r>
      <w:r>
        <w:rPr>
          <w:rFonts w:eastAsia="宋体" w:cs="Times New Roman"/>
        </w:rPr>
        <w:t>3</w:t>
      </w:r>
      <w:r>
        <w:rPr>
          <w:rFonts w:hint="eastAsia" w:ascii="宋体" w:hAnsi="宋体" w:eastAsia="宋体" w:cs="宋体"/>
        </w:rPr>
        <w:t>个影响程度最大的因素。</w:t>
      </w:r>
    </w:p>
    <w:p w14:paraId="7FAC6253">
      <w:pPr>
        <w:ind w:firstLine="0" w:firstLineChars="0"/>
        <w:jc w:val="center"/>
        <w:rPr>
          <w:rFonts w:ascii="宋体" w:hAnsi="宋体" w:eastAsia="宋体" w:cs="宋体"/>
        </w:rPr>
      </w:pPr>
      <w:r>
        <w:drawing>
          <wp:inline distT="0" distB="0" distL="114300" distR="114300">
            <wp:extent cx="8292465" cy="3267075"/>
            <wp:effectExtent l="4445" t="4445" r="8890" b="5080"/>
            <wp:docPr id="1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94D8F3D">
      <w:pPr>
        <w:pStyle w:val="14"/>
        <w:rPr>
          <w:rFonts w:ascii="宋体" w:hAnsi="宋体" w:eastAsia="宋体" w:cs="宋体"/>
        </w:rPr>
      </w:pPr>
      <w:r>
        <w:rPr>
          <w:rFonts w:hint="eastAsia" w:ascii="宋体" w:hAnsi="宋体" w:eastAsia="宋体" w:cs="宋体"/>
        </w:rPr>
        <w:t>图</w:t>
      </w:r>
      <w:r>
        <w:rPr>
          <w:rFonts w:eastAsia="宋体" w:cs="Times New Roman"/>
        </w:rPr>
        <w:t>5</w:t>
      </w:r>
      <w:r>
        <w:rPr>
          <w:rFonts w:hint="eastAsia" w:ascii="宋体" w:hAnsi="宋体" w:eastAsia="宋体" w:cs="宋体"/>
        </w:rPr>
        <w:t>.乌海银行绿色信贷资产细分行业自然相关影响强度</w:t>
      </w:r>
    </w:p>
    <w:p w14:paraId="30D045DB">
      <w:pPr>
        <w:ind w:firstLine="560"/>
        <w:rPr>
          <w:rFonts w:ascii="宋体" w:hAnsi="宋体" w:eastAsia="宋体" w:cs="宋体"/>
        </w:rPr>
        <w:sectPr>
          <w:footerReference r:id="rId18" w:type="first"/>
          <w:footerReference r:id="rId17" w:type="default"/>
          <w:pgSz w:w="16838" w:h="11906" w:orient="landscape"/>
          <w:pgMar w:top="1800" w:right="1440" w:bottom="1800" w:left="1440" w:header="851" w:footer="992" w:gutter="0"/>
          <w:cols w:space="425" w:num="1"/>
          <w:titlePg/>
          <w:docGrid w:type="lines" w:linePitch="381" w:charSpace="0"/>
        </w:sectPr>
      </w:pPr>
      <w:r>
        <w:rPr>
          <w:rFonts w:hint="eastAsia" w:ascii="宋体" w:hAnsi="宋体" w:eastAsia="宋体" w:cs="宋体"/>
        </w:rPr>
        <w:t>在细分行业自然相关影响程度评估方面，本报告采用赋值法计算各细分行业影响总分值。经测算，自然相关高影响行业分别为污水处理及其再生利用、危险废物治理和太阳能发电。我行</w:t>
      </w:r>
      <w:r>
        <w:rPr>
          <w:rFonts w:eastAsia="宋体" w:cs="Times New Roman"/>
        </w:rPr>
        <w:t>2025</w:t>
      </w:r>
      <w:r>
        <w:rPr>
          <w:rFonts w:hint="eastAsia" w:ascii="宋体" w:hAnsi="宋体" w:eastAsia="宋体" w:cs="宋体"/>
        </w:rPr>
        <w:t>年</w:t>
      </w:r>
      <w:r>
        <w:rPr>
          <w:rStyle w:val="47"/>
          <w:rFonts w:hint="eastAsia" w:ascii="宋体" w:hAnsi="宋体" w:eastAsia="宋体" w:cs="宋体"/>
          <w:sz w:val="28"/>
          <w:szCs w:val="28"/>
        </w:rPr>
        <w:t>末绿色信贷资产</w:t>
      </w:r>
      <w:r>
        <w:rPr>
          <w:rFonts w:hint="eastAsia" w:ascii="宋体" w:hAnsi="宋体" w:eastAsia="宋体" w:cs="宋体"/>
        </w:rPr>
        <w:t>中，</w:t>
      </w:r>
      <w:r>
        <w:rPr>
          <w:rFonts w:eastAsia="宋体" w:cs="Times New Roman"/>
        </w:rPr>
        <w:t>28.73%</w:t>
      </w:r>
      <w:r>
        <w:rPr>
          <w:rFonts w:hint="eastAsia" w:ascii="宋体" w:hAnsi="宋体" w:eastAsia="宋体" w:cs="宋体"/>
        </w:rPr>
        <w:t>的绿色信贷资产来自上述高影响行业，尤其表现为对“干扰活动（噪音、光线）”“温室气体排放”“有毒污染物水土排放”和“营养污染物水土排放”的高度影响。</w:t>
      </w:r>
    </w:p>
    <w:p w14:paraId="3D4B8AB6">
      <w:pPr>
        <w:keepNext/>
        <w:keepLines/>
        <w:numPr>
          <w:ilvl w:val="2"/>
          <w:numId w:val="1"/>
        </w:numPr>
        <w:ind w:firstLine="200" w:firstLineChars="0"/>
        <w:outlineLvl w:val="2"/>
        <w:rPr>
          <w:rFonts w:ascii="宋体" w:hAnsi="宋体" w:eastAsia="宋体" w:cs="宋体"/>
          <w:b/>
          <w:bCs/>
        </w:rPr>
      </w:pPr>
      <w:r>
        <w:rPr>
          <w:rFonts w:hint="eastAsia" w:ascii="宋体" w:hAnsi="宋体" w:eastAsia="宋体" w:cs="宋体"/>
          <w:b/>
          <w:bCs/>
        </w:rPr>
        <w:t>自身经营对自然的依赖与影响</w:t>
      </w:r>
    </w:p>
    <w:p w14:paraId="735CFEC7">
      <w:pPr>
        <w:ind w:firstLine="560"/>
        <w:rPr>
          <w:rFonts w:ascii="宋体" w:hAnsi="宋体" w:eastAsia="宋体" w:cs="宋体"/>
        </w:rPr>
      </w:pPr>
      <w:r>
        <w:rPr>
          <w:rFonts w:hint="eastAsia" w:ascii="宋体" w:hAnsi="宋体" w:eastAsia="宋体" w:cs="宋体"/>
        </w:rPr>
        <w:t>我行系统梳理业务运营过程中对自然资源的利用情况，评估业务开展对生态环境可能产生的直接与间接影响，针对性优化资源配置，将自然相关风险纳入全面风险管理体系，确保业务运营的稳健性。</w:t>
      </w:r>
    </w:p>
    <w:p w14:paraId="25B12908">
      <w:pPr>
        <w:spacing w:after="120"/>
        <w:ind w:firstLine="0" w:firstLineChars="0"/>
        <w:jc w:val="center"/>
        <w:rPr>
          <w:rFonts w:ascii="宋体" w:hAnsi="宋体" w:eastAsia="宋体" w:cs="宋体"/>
        </w:rPr>
      </w:pPr>
      <w:r>
        <w:rPr>
          <w:rFonts w:hint="eastAsia" w:ascii="宋体" w:hAnsi="宋体" w:eastAsia="宋体" w:cs="宋体"/>
          <w:b/>
          <w:bCs/>
          <w:sz w:val="24"/>
          <w:szCs w:val="18"/>
        </w:rPr>
        <w:t>表</w:t>
      </w:r>
      <w:r>
        <w:rPr>
          <w:rFonts w:eastAsia="宋体" w:cs="Times New Roman"/>
          <w:b/>
          <w:bCs/>
          <w:sz w:val="24"/>
          <w:szCs w:val="18"/>
        </w:rPr>
        <w:t>5</w:t>
      </w:r>
      <w:r>
        <w:rPr>
          <w:rFonts w:hint="eastAsia" w:ascii="宋体" w:hAnsi="宋体" w:eastAsia="宋体" w:cs="宋体"/>
          <w:b/>
          <w:bCs/>
          <w:sz w:val="24"/>
          <w:szCs w:val="18"/>
        </w:rPr>
        <w:t>.乌海银行自身经营对自然的依赖与影响</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1780"/>
        <w:gridCol w:w="5290"/>
      </w:tblGrid>
      <w:tr w14:paraId="4C4D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2" w:type="dxa"/>
            <w:gridSpan w:val="2"/>
            <w:shd w:val="clear" w:color="auto" w:fill="44546A" w:themeFill="text2"/>
            <w:vAlign w:val="center"/>
          </w:tcPr>
          <w:p w14:paraId="3DA545CC">
            <w:pPr>
              <w:widowControl w:val="0"/>
              <w:spacing w:line="240" w:lineRule="auto"/>
              <w:ind w:firstLine="0" w:firstLineChars="0"/>
              <w:jc w:val="center"/>
              <w:rPr>
                <w:rFonts w:ascii="宋体" w:hAnsi="宋体" w:eastAsia="宋体" w:cs="宋体"/>
                <w:b/>
                <w:bCs/>
                <w:color w:val="FFFFFF" w:themeColor="background1"/>
                <w14:textFill>
                  <w14:solidFill>
                    <w14:schemeClr w14:val="bg1"/>
                  </w14:solidFill>
                </w14:textFill>
              </w:rPr>
            </w:pPr>
            <w:r>
              <w:rPr>
                <w:rFonts w:hint="eastAsia" w:ascii="宋体" w:hAnsi="宋体" w:eastAsia="宋体" w:cs="宋体"/>
                <w:b/>
                <w:bCs/>
                <w:color w:val="FFFFFF" w:themeColor="background1"/>
                <w14:textFill>
                  <w14:solidFill>
                    <w14:schemeClr w14:val="bg1"/>
                  </w14:solidFill>
                </w14:textFill>
              </w:rPr>
              <w:t>依赖与影响的类型</w:t>
            </w:r>
          </w:p>
        </w:tc>
        <w:tc>
          <w:tcPr>
            <w:tcW w:w="5290" w:type="dxa"/>
            <w:shd w:val="clear" w:color="auto" w:fill="44546A" w:themeFill="text2"/>
            <w:vAlign w:val="center"/>
          </w:tcPr>
          <w:p w14:paraId="6A29C685">
            <w:pPr>
              <w:widowControl w:val="0"/>
              <w:spacing w:line="240" w:lineRule="auto"/>
              <w:ind w:firstLine="0" w:firstLineChars="0"/>
              <w:jc w:val="center"/>
              <w:rPr>
                <w:rFonts w:ascii="宋体" w:hAnsi="宋体" w:eastAsia="宋体" w:cs="宋体"/>
                <w:b/>
                <w:bCs/>
                <w:color w:val="FFFFFF" w:themeColor="background1"/>
                <w14:textFill>
                  <w14:solidFill>
                    <w14:schemeClr w14:val="bg1"/>
                  </w14:solidFill>
                </w14:textFill>
              </w:rPr>
            </w:pPr>
            <w:r>
              <w:rPr>
                <w:rFonts w:hint="eastAsia" w:ascii="宋体" w:hAnsi="宋体" w:eastAsia="宋体" w:cs="宋体"/>
                <w:b/>
                <w:bCs/>
                <w:color w:val="FFFFFF" w:themeColor="background1"/>
                <w14:textFill>
                  <w14:solidFill>
                    <w14:schemeClr w14:val="bg1"/>
                  </w14:solidFill>
                </w14:textFill>
              </w:rPr>
              <w:t>内容</w:t>
            </w:r>
          </w:p>
        </w:tc>
      </w:tr>
      <w:tr w14:paraId="39BE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vAlign w:val="center"/>
          </w:tcPr>
          <w:p w14:paraId="3FD24052">
            <w:pPr>
              <w:widowControl w:val="0"/>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依赖</w:t>
            </w:r>
          </w:p>
        </w:tc>
        <w:tc>
          <w:tcPr>
            <w:tcW w:w="1780" w:type="dxa"/>
            <w:vAlign w:val="center"/>
          </w:tcPr>
          <w:p w14:paraId="2A7171F0">
            <w:pPr>
              <w:widowControl w:val="0"/>
              <w:numPr>
                <w:ilvl w:val="255"/>
                <w:numId w:val="0"/>
              </w:numPr>
              <w:spacing w:line="240" w:lineRule="auto"/>
              <w:jc w:val="center"/>
              <w:rPr>
                <w:rFonts w:ascii="宋体" w:hAnsi="宋体" w:eastAsia="宋体" w:cs="宋体"/>
                <w:sz w:val="24"/>
                <w:szCs w:val="24"/>
              </w:rPr>
            </w:pPr>
            <w:r>
              <w:rPr>
                <w:rFonts w:hint="eastAsia" w:ascii="宋体" w:hAnsi="宋体" w:eastAsia="宋体" w:cs="宋体"/>
                <w:sz w:val="24"/>
                <w:szCs w:val="24"/>
              </w:rPr>
              <w:t>日常经营</w:t>
            </w:r>
          </w:p>
        </w:tc>
        <w:tc>
          <w:tcPr>
            <w:tcW w:w="5290" w:type="dxa"/>
            <w:vAlign w:val="center"/>
          </w:tcPr>
          <w:p w14:paraId="36CE0F0F">
            <w:pPr>
              <w:widowControl w:val="0"/>
              <w:spacing w:line="240" w:lineRule="auto"/>
              <w:ind w:firstLine="0" w:firstLineChars="0"/>
              <w:rPr>
                <w:rFonts w:ascii="宋体" w:hAnsi="宋体" w:eastAsia="宋体" w:cs="宋体"/>
              </w:rPr>
            </w:pPr>
            <w:r>
              <w:rPr>
                <w:rFonts w:hint="eastAsia" w:ascii="宋体" w:hAnsi="宋体" w:eastAsia="宋体" w:cs="宋体"/>
                <w:sz w:val="24"/>
                <w:szCs w:val="24"/>
              </w:rPr>
              <w:t>我行日常经营活动涉及对水、电力、纸张等能源资源的使用，部分公务用车依赖于燃油的供应。</w:t>
            </w:r>
          </w:p>
        </w:tc>
      </w:tr>
      <w:tr w14:paraId="614B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vMerge w:val="restart"/>
            <w:vAlign w:val="center"/>
          </w:tcPr>
          <w:p w14:paraId="480FA133">
            <w:pPr>
              <w:widowControl w:val="0"/>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影响</w:t>
            </w:r>
          </w:p>
        </w:tc>
        <w:tc>
          <w:tcPr>
            <w:tcW w:w="1780" w:type="dxa"/>
            <w:vAlign w:val="center"/>
          </w:tcPr>
          <w:p w14:paraId="3F4619C1">
            <w:pPr>
              <w:widowControl w:val="0"/>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网点建设</w:t>
            </w:r>
          </w:p>
        </w:tc>
        <w:tc>
          <w:tcPr>
            <w:tcW w:w="5290" w:type="dxa"/>
            <w:vAlign w:val="center"/>
          </w:tcPr>
          <w:p w14:paraId="4BE72E0E">
            <w:pPr>
              <w:widowControl w:val="0"/>
              <w:spacing w:after="120" w:line="240" w:lineRule="auto"/>
              <w:ind w:firstLine="0" w:firstLineChars="0"/>
              <w:rPr>
                <w:rFonts w:ascii="宋体" w:hAnsi="宋体" w:eastAsia="宋体" w:cs="宋体"/>
                <w:sz w:val="21"/>
              </w:rPr>
            </w:pPr>
            <w:r>
              <w:rPr>
                <w:rFonts w:hint="eastAsia" w:ascii="宋体" w:hAnsi="宋体" w:eastAsia="宋体" w:cs="宋体"/>
                <w:sz w:val="24"/>
                <w:szCs w:val="24"/>
              </w:rPr>
              <w:t>可能涉及网点建设，对局部区域土地利用方式产生一定影响。</w:t>
            </w:r>
          </w:p>
        </w:tc>
      </w:tr>
      <w:tr w14:paraId="55BC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vMerge w:val="continue"/>
            <w:vAlign w:val="center"/>
          </w:tcPr>
          <w:p w14:paraId="57F542B1">
            <w:pPr>
              <w:widowControl w:val="0"/>
              <w:spacing w:line="240" w:lineRule="auto"/>
              <w:ind w:firstLine="0" w:firstLineChars="0"/>
              <w:jc w:val="center"/>
              <w:rPr>
                <w:rFonts w:ascii="宋体" w:hAnsi="宋体" w:eastAsia="宋体" w:cs="宋体"/>
                <w:sz w:val="24"/>
                <w:szCs w:val="24"/>
              </w:rPr>
            </w:pPr>
          </w:p>
        </w:tc>
        <w:tc>
          <w:tcPr>
            <w:tcW w:w="1780" w:type="dxa"/>
            <w:vAlign w:val="center"/>
          </w:tcPr>
          <w:p w14:paraId="0A580D64">
            <w:pPr>
              <w:widowControl w:val="0"/>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日常经营</w:t>
            </w:r>
          </w:p>
        </w:tc>
        <w:tc>
          <w:tcPr>
            <w:tcW w:w="5290" w:type="dxa"/>
            <w:vAlign w:val="center"/>
          </w:tcPr>
          <w:p w14:paraId="66F4365B">
            <w:pPr>
              <w:widowControl w:val="0"/>
              <w:spacing w:line="240" w:lineRule="auto"/>
              <w:ind w:firstLine="0" w:firstLineChars="0"/>
              <w:rPr>
                <w:rFonts w:ascii="宋体" w:hAnsi="宋体" w:eastAsia="宋体" w:cs="宋体"/>
              </w:rPr>
            </w:pPr>
            <w:r>
              <w:rPr>
                <w:rFonts w:hint="eastAsia" w:ascii="宋体" w:hAnsi="宋体" w:eastAsia="宋体" w:cs="宋体"/>
                <w:sz w:val="24"/>
                <w:szCs w:val="24"/>
              </w:rPr>
              <w:t>办公用水消耗直接影响淡水系统，而电力、燃气等能源使用则间接加剧供应端的空气污染与工业废水排放，纸张等耗材的消耗亦会间接释放温室气体。</w:t>
            </w:r>
          </w:p>
        </w:tc>
      </w:tr>
      <w:bookmarkEnd w:id="176"/>
      <w:bookmarkEnd w:id="177"/>
    </w:tbl>
    <w:p w14:paraId="7D867B7E">
      <w:pPr>
        <w:pStyle w:val="3"/>
        <w:rPr>
          <w:rFonts w:ascii="宋体" w:hAnsi="宋体" w:eastAsia="宋体" w:cs="宋体"/>
        </w:rPr>
      </w:pPr>
      <w:bookmarkStart w:id="179" w:name="_Toc11658"/>
      <w:r>
        <w:rPr>
          <w:rFonts w:hint="eastAsia" w:ascii="宋体" w:hAnsi="宋体" w:eastAsia="宋体" w:cs="宋体"/>
        </w:rPr>
        <w:t>识别与自然的关联</w:t>
      </w:r>
      <w:bookmarkEnd w:id="179"/>
    </w:p>
    <w:p w14:paraId="453F4A5D">
      <w:pPr>
        <w:ind w:firstLine="560"/>
        <w:rPr>
          <w:rFonts w:ascii="宋体" w:hAnsi="宋体" w:eastAsia="宋体" w:cs="宋体"/>
        </w:rPr>
      </w:pPr>
      <w:r>
        <w:rPr>
          <w:rFonts w:hint="eastAsia" w:ascii="宋体" w:hAnsi="宋体" w:eastAsia="宋体" w:cs="宋体"/>
        </w:rPr>
        <w:t>我行从自身运营和投融资组合层面评估业务运营与地理位置及自然的关联。</w:t>
      </w:r>
    </w:p>
    <w:p w14:paraId="2F39558B">
      <w:pPr>
        <w:ind w:firstLine="560"/>
        <w:rPr>
          <w:rFonts w:ascii="宋体" w:hAnsi="宋体" w:eastAsia="宋体" w:cs="宋体"/>
        </w:rPr>
      </w:pPr>
      <w:r>
        <w:rPr>
          <w:rFonts w:hint="eastAsia" w:ascii="宋体" w:hAnsi="宋体" w:eastAsia="宋体" w:cs="宋体"/>
        </w:rPr>
        <w:t>在自身运营方面，乌海银行各网点大部分位于内蒙古自治区乌海市和鄂尔多斯市，少量网点位于阿拉善盟和巴彦淖尔市，网点均使用现有办公场所，对自然的直接影响有限，因此不在此展开自身运营与自然关联的识别。</w:t>
      </w:r>
    </w:p>
    <w:p w14:paraId="4C3F1819">
      <w:pPr>
        <w:ind w:firstLine="560"/>
        <w:rPr>
          <w:rFonts w:ascii="宋体" w:hAnsi="宋体" w:eastAsia="宋体" w:cs="宋体"/>
        </w:rPr>
      </w:pPr>
      <w:r>
        <w:rPr>
          <w:rFonts w:hint="eastAsia" w:ascii="宋体" w:hAnsi="宋体" w:eastAsia="宋体" w:cs="宋体"/>
        </w:rPr>
        <w:t>在投融资组合方面，</w:t>
      </w:r>
      <w:r>
        <w:rPr>
          <w:rFonts w:eastAsia="宋体" w:cs="Times New Roman"/>
        </w:rPr>
        <w:t>2025</w:t>
      </w:r>
      <w:r>
        <w:rPr>
          <w:rFonts w:hint="eastAsia" w:ascii="宋体" w:hAnsi="宋体" w:eastAsia="宋体" w:cs="宋体"/>
        </w:rPr>
        <w:t>年度，乌海银行贷款企业和项目普遍分布于内蒙古自治区范围内，其中以乌海市为主，少量分布于包头市、巴彦淖尔市、阿拉善盟等地。</w:t>
      </w:r>
    </w:p>
    <w:p w14:paraId="0E6A6F23">
      <w:pPr>
        <w:ind w:firstLine="560"/>
        <w:rPr>
          <w:rFonts w:ascii="宋体" w:hAnsi="宋体" w:eastAsia="宋体" w:cs="宋体"/>
        </w:rPr>
      </w:pPr>
      <w:r>
        <w:rPr>
          <w:rFonts w:hint="eastAsia" w:ascii="宋体" w:hAnsi="宋体" w:eastAsia="宋体" w:cs="宋体"/>
        </w:rPr>
        <w:t xml:space="preserve">我行围绕“自然相关高影响行业”开展了生态与物种敏感性评估。与此同时，针对高度依赖水资源的行业，同步实施了区域水资源压力评估。两项评估均以绿色信贷资产相关领域内的企业/项目（以下简称“受评企业/项目”）作为样本。 </w:t>
      </w:r>
    </w:p>
    <w:p w14:paraId="62EC59C0">
      <w:pPr>
        <w:pStyle w:val="4"/>
        <w:rPr>
          <w:rFonts w:ascii="宋体" w:hAnsi="宋体" w:eastAsia="宋体" w:cs="宋体"/>
        </w:rPr>
      </w:pPr>
      <w:r>
        <w:rPr>
          <w:rFonts w:hint="eastAsia" w:ascii="宋体" w:hAnsi="宋体" w:eastAsia="宋体" w:cs="宋体"/>
        </w:rPr>
        <w:t>生态敏感性</w:t>
      </w:r>
    </w:p>
    <w:p w14:paraId="077ACF45">
      <w:pPr>
        <w:ind w:firstLine="560"/>
        <w:rPr>
          <w:rFonts w:ascii="宋体" w:hAnsi="宋体" w:eastAsia="宋体" w:cs="宋体"/>
        </w:rPr>
      </w:pPr>
      <w:r>
        <w:rPr>
          <w:rFonts w:hint="eastAsia" w:ascii="宋体" w:hAnsi="宋体" w:eastAsia="宋体" w:cs="宋体"/>
        </w:rPr>
        <w:t>“自然相关高影响行业”受评企业/项目主要坐落于乌海市内。乌海市分布有内蒙古西鄂尔多斯国家级自然保护区、内蒙古乌海龙游湾国家湿地公园、内蒙古金沙湾国家级沙漠公园等自然保护地。受评企业/项目均未落位于自然保护地范围内，对自然生态的影响极轻微。</w:t>
      </w:r>
    </w:p>
    <w:p w14:paraId="4D4CC1DA">
      <w:pPr>
        <w:ind w:firstLine="0" w:firstLineChars="0"/>
        <w:rPr>
          <w:rFonts w:ascii="宋体" w:hAnsi="宋体" w:eastAsia="宋体" w:cs="宋体"/>
        </w:rPr>
      </w:pPr>
      <w:r>
        <w:rPr>
          <w:rFonts w:hint="eastAsia" w:ascii="宋体" w:hAnsi="宋体" w:eastAsia="宋体" w:cs="宋体"/>
        </w:rPr>
        <mc:AlternateContent>
          <mc:Choice Requires="wps">
            <w:drawing>
              <wp:anchor distT="0" distB="0" distL="114300" distR="114300" simplePos="0" relativeHeight="251660288" behindDoc="0" locked="0" layoutInCell="1" allowOverlap="1">
                <wp:simplePos x="0" y="0"/>
                <wp:positionH relativeFrom="column">
                  <wp:posOffset>687070</wp:posOffset>
                </wp:positionH>
                <wp:positionV relativeFrom="paragraph">
                  <wp:posOffset>1798955</wp:posOffset>
                </wp:positionV>
                <wp:extent cx="582295" cy="265430"/>
                <wp:effectExtent l="0" t="0" r="0" b="0"/>
                <wp:wrapNone/>
                <wp:docPr id="62" name="矩形 62"/>
                <wp:cNvGraphicFramePr/>
                <a:graphic xmlns:a="http://schemas.openxmlformats.org/drawingml/2006/main">
                  <a:graphicData uri="http://schemas.microsoft.com/office/word/2010/wordprocessingShape">
                    <wps:wsp>
                      <wps:cNvSpPr/>
                      <wps:spPr>
                        <a:xfrm>
                          <a:off x="0" y="0"/>
                          <a:ext cx="582295" cy="26543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CEBBF31">
                            <w:pPr>
                              <w:spacing w:line="240" w:lineRule="auto"/>
                              <w:ind w:firstLine="0" w:firstLineChars="0"/>
                              <w:jc w:val="center"/>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乌海市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1pt;margin-top:141.65pt;height:20.9pt;width:45.85pt;z-index:251660288;v-text-anchor:middle;mso-width-relative:page;mso-height-relative:page;" filled="f" stroked="f" coordsize="21600,21600" o:gfxdata="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M44F5dgAAAALAQAADwAAAAAAAAABACAAAAAiAAAAZHJzL2Rvd25yZXYueG1sUEsBAhQAFAAA&#10;AAgAh07iQB7lDo5hAgAArgQAAA4AAAAAAAAAAQAgAAAAJwEAAGRycy9lMm9Eb2MueG1sUEsFBgAA&#10;AAAGAAYAWQEAAPoFAAAAAA==&#10;">
                <v:fill on="f" focussize="0,0"/>
                <v:stroke on="f" weight="1pt" miterlimit="8" joinstyle="miter"/>
                <v:imagedata o:title=""/>
                <o:lock v:ext="edit" aspectratio="f"/>
                <v:textbox>
                  <w:txbxContent>
                    <w:p w14:paraId="5CEBBF31">
                      <w:pPr>
                        <w:spacing w:line="240" w:lineRule="auto"/>
                        <w:ind w:firstLine="0" w:firstLineChars="0"/>
                        <w:jc w:val="center"/>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乌海市</w:t>
                      </w:r>
                    </w:p>
                  </w:txbxContent>
                </v:textbox>
              </v:rect>
            </w:pict>
          </mc:Fallback>
        </mc:AlternateContent>
      </w:r>
      <w:r>
        <w:rPr>
          <w:rFonts w:hint="eastAsia" w:ascii="宋体" w:hAnsi="宋体" w:eastAsia="宋体" w:cs="宋体"/>
        </w:rPr>
        <mc:AlternateContent>
          <mc:Choice Requires="wpg">
            <w:drawing>
              <wp:anchor distT="0" distB="0" distL="114300" distR="114300" simplePos="0" relativeHeight="251661312" behindDoc="0" locked="0" layoutInCell="1" allowOverlap="1">
                <wp:simplePos x="0" y="0"/>
                <wp:positionH relativeFrom="column">
                  <wp:posOffset>4324985</wp:posOffset>
                </wp:positionH>
                <wp:positionV relativeFrom="paragraph">
                  <wp:posOffset>2193925</wp:posOffset>
                </wp:positionV>
                <wp:extent cx="704850" cy="224155"/>
                <wp:effectExtent l="0" t="0" r="0" b="0"/>
                <wp:wrapNone/>
                <wp:docPr id="99" name="组合 99"/>
                <wp:cNvGraphicFramePr/>
                <a:graphic xmlns:a="http://schemas.openxmlformats.org/drawingml/2006/main">
                  <a:graphicData uri="http://schemas.microsoft.com/office/word/2010/wordprocessingGroup">
                    <wpg:wgp>
                      <wpg:cNvGrpSpPr/>
                      <wpg:grpSpPr>
                        <a:xfrm>
                          <a:off x="0" y="0"/>
                          <a:ext cx="704850" cy="224155"/>
                          <a:chOff x="9149" y="394205"/>
                          <a:chExt cx="1110" cy="353"/>
                        </a:xfrm>
                      </wpg:grpSpPr>
                      <wps:wsp>
                        <wps:cNvPr id="7" name="矩形 39"/>
                        <wps:cNvSpPr/>
                        <wps:spPr>
                          <a:xfrm>
                            <a:off x="9149" y="394323"/>
                            <a:ext cx="241" cy="127"/>
                          </a:xfrm>
                          <a:prstGeom prst="rect">
                            <a:avLst/>
                          </a:prstGeom>
                          <a:solidFill>
                            <a:srgbClr val="BDDAB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 name="矩形 38"/>
                        <wps:cNvSpPr/>
                        <wps:spPr>
                          <a:xfrm>
                            <a:off x="9284" y="394205"/>
                            <a:ext cx="975" cy="353"/>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B31A93E">
                              <w:pPr>
                                <w:spacing w:line="240" w:lineRule="auto"/>
                                <w:ind w:firstLine="0" w:firstLineChars="0"/>
                                <w:jc w:val="left"/>
                                <w:rPr>
                                  <w:rFonts w:ascii="微软雅黑" w:hAnsi="微软雅黑" w:eastAsia="微软雅黑" w:cs="微软雅黑"/>
                                  <w:color w:val="000000" w:themeColor="text1"/>
                                  <w:sz w:val="11"/>
                                  <w:szCs w:val="11"/>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1"/>
                                  <w:szCs w:val="11"/>
                                  <w14:textFill>
                                    <w14:solidFill>
                                      <w14:schemeClr w14:val="tx1"/>
                                    </w14:solidFill>
                                  </w14:textFill>
                                  <w14:props3d w14:extrusionH="0" w14:contourW="0" w14:prstMaterial="clear"/>
                                </w:rPr>
                                <w:t>自然保护地</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40.55pt;margin-top:172.75pt;height:17.65pt;width:55.5pt;z-index:251661312;mso-width-relative:page;mso-height-relative:page;" coordorigin="9149,394205" coordsize="1110,353" o:gfxdata="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L0s+Q3aAAAACwEAAA8AAAAAAAAAAQAgAAAAIgAAAGRycy9k&#10;b3ducmV2LnhtbFBLAQIUABQAAAAIAIdO4kBtG3cxHQMAANAIAAAOAAAAAAAAAAEAIAAAACkBAABk&#10;cnMvZTJvRG9jLnhtbFBLBQYAAAAABgAGAFkBAAC4BgAAAAA=&#10;">
                <o:lock v:ext="edit" aspectratio="f"/>
                <v:rect id="矩形 39" o:spid="_x0000_s1026" o:spt="1" style="position:absolute;left:9149;top:394323;height:127;width:241;v-text-anchor:middle;" fillcolor="#BDDAB1" filled="t" stroked="f" coordsize="21600,21600" o:gfxdata="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fPVR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rect id="矩形 38" o:spid="_x0000_s1026" o:spt="1" style="position:absolute;left:9284;top:394205;height:353;width:975;v-text-anchor:middle;" filled="f" stroked="f" coordsize="21600,21600" o:gfxdata="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IdoNLgAAADaAAAA&#10;DwAAAAAAAAABACAAAAAiAAAAZHJzL2Rvd25yZXYueG1sUEsBAhQAFAAAAAgAh07iQDMvBZ47AAAA&#10;OQAAABAAAAAAAAAAAQAgAAAABwEAAGRycy9zaGFwZXhtbC54bWxQSwUGAAAAAAYABgBbAQAAsQMA&#10;AAAA&#10;">
                  <v:fill on="f" focussize="0,0"/>
                  <v:stroke on="f" weight="1pt" miterlimit="8" joinstyle="miter"/>
                  <v:imagedata o:title=""/>
                  <o:lock v:ext="edit" aspectratio="f"/>
                  <v:textbox>
                    <w:txbxContent>
                      <w:p w14:paraId="5B31A93E">
                        <w:pPr>
                          <w:spacing w:line="240" w:lineRule="auto"/>
                          <w:ind w:firstLine="0" w:firstLineChars="0"/>
                          <w:jc w:val="left"/>
                          <w:rPr>
                            <w:rFonts w:ascii="微软雅黑" w:hAnsi="微软雅黑" w:eastAsia="微软雅黑" w:cs="微软雅黑"/>
                            <w:color w:val="000000" w:themeColor="text1"/>
                            <w:sz w:val="11"/>
                            <w:szCs w:val="11"/>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1"/>
                            <w:szCs w:val="11"/>
                            <w14:textFill>
                              <w14:solidFill>
                                <w14:schemeClr w14:val="tx1"/>
                              </w14:solidFill>
                            </w14:textFill>
                            <w14:props3d w14:extrusionH="0" w14:contourW="0" w14:prstMaterial="clear"/>
                          </w:rPr>
                          <w:t>自然保护地</w:t>
                        </w:r>
                      </w:p>
                    </w:txbxContent>
                  </v:textbox>
                </v:rect>
              </v:group>
            </w:pict>
          </mc:Fallback>
        </mc:AlternateContent>
      </w:r>
      <w:r>
        <w:rPr>
          <w:rFonts w:hint="eastAsia" w:ascii="宋体" w:hAnsi="宋体" w:eastAsia="宋体" w:cs="宋体"/>
        </w:rPr>
        <w:drawing>
          <wp:inline distT="0" distB="0" distL="114300" distR="114300">
            <wp:extent cx="5269865" cy="2531110"/>
            <wp:effectExtent l="0" t="0" r="3175" b="13970"/>
            <wp:docPr id="4" name="图片 4" descr="D:/联合赤道工作资料/26-05-13 乌海银行TNFD/05 GIS和数据/WH_Nature.pngWH_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联合赤道工作资料/26-05-13 乌海银行TNFD/05 GIS和数据/WH_Nature.pngWH_Nature"/>
                    <pic:cNvPicPr>
                      <a:picLocks noChangeAspect="1"/>
                    </pic:cNvPicPr>
                  </pic:nvPicPr>
                  <pic:blipFill>
                    <a:blip r:embed="rId31"/>
                    <a:srcRect l="9" t="18555" r="9" b="13529"/>
                    <a:stretch>
                      <a:fillRect/>
                    </a:stretch>
                  </pic:blipFill>
                  <pic:spPr>
                    <a:xfrm>
                      <a:off x="0" y="0"/>
                      <a:ext cx="5269865" cy="2531110"/>
                    </a:xfrm>
                    <a:prstGeom prst="rect">
                      <a:avLst/>
                    </a:prstGeom>
                  </pic:spPr>
                </pic:pic>
              </a:graphicData>
            </a:graphic>
          </wp:inline>
        </w:drawing>
      </w:r>
    </w:p>
    <w:p w14:paraId="782048AD">
      <w:pPr>
        <w:pStyle w:val="14"/>
        <w:rPr>
          <w:rFonts w:ascii="宋体" w:hAnsi="宋体" w:eastAsia="宋体" w:cs="宋体"/>
        </w:rPr>
      </w:pPr>
      <w:r>
        <w:rPr>
          <w:rFonts w:hint="eastAsia" w:ascii="宋体" w:hAnsi="宋体" w:eastAsia="宋体" w:cs="宋体"/>
        </w:rPr>
        <w:t>图</w:t>
      </w:r>
      <w:r>
        <w:rPr>
          <w:rFonts w:eastAsia="宋体" w:cs="Times New Roman"/>
        </w:rPr>
        <w:t>6</w:t>
      </w:r>
      <w:r>
        <w:rPr>
          <w:rFonts w:hint="eastAsia" w:ascii="宋体" w:hAnsi="宋体" w:eastAsia="宋体" w:cs="宋体"/>
        </w:rPr>
        <w:t>.受评企业/项目运营点位和自然保护地分布图</w:t>
      </w:r>
    </w:p>
    <w:p w14:paraId="48841F8E">
      <w:pPr>
        <w:ind w:firstLine="0" w:firstLineChars="0"/>
        <w:rPr>
          <w:rFonts w:ascii="宋体" w:hAnsi="宋体" w:eastAsia="宋体" w:cs="宋体"/>
        </w:rPr>
      </w:pPr>
      <w:r>
        <w:rPr>
          <w:rFonts w:hint="eastAsia" w:ascii="宋体" w:hAnsi="宋体" w:eastAsia="宋体" w:cs="宋体"/>
        </w:rPr>
        <mc:AlternateContent>
          <mc:Choice Requires="wpg">
            <w:drawing>
              <wp:anchor distT="0" distB="0" distL="114300" distR="114300" simplePos="0" relativeHeight="251662336" behindDoc="0" locked="0" layoutInCell="1" allowOverlap="1">
                <wp:simplePos x="0" y="0"/>
                <wp:positionH relativeFrom="column">
                  <wp:posOffset>3202940</wp:posOffset>
                </wp:positionH>
                <wp:positionV relativeFrom="paragraph">
                  <wp:posOffset>1932305</wp:posOffset>
                </wp:positionV>
                <wp:extent cx="794385" cy="514350"/>
                <wp:effectExtent l="6350" t="0" r="0" b="0"/>
                <wp:wrapNone/>
                <wp:docPr id="6" name="组合 6"/>
                <wp:cNvGraphicFramePr/>
                <a:graphic xmlns:a="http://schemas.openxmlformats.org/drawingml/2006/main">
                  <a:graphicData uri="http://schemas.microsoft.com/office/word/2010/wordprocessingGroup">
                    <wpg:wgp>
                      <wpg:cNvGrpSpPr/>
                      <wpg:grpSpPr>
                        <a:xfrm>
                          <a:off x="0" y="0"/>
                          <a:ext cx="794385" cy="514350"/>
                          <a:chOff x="9755" y="253846"/>
                          <a:chExt cx="1251" cy="810"/>
                        </a:xfrm>
                      </wpg:grpSpPr>
                      <wps:wsp>
                        <wps:cNvPr id="86" name="矩形 35"/>
                        <wps:cNvSpPr/>
                        <wps:spPr>
                          <a:xfrm>
                            <a:off x="9755" y="253939"/>
                            <a:ext cx="158" cy="158"/>
                          </a:xfrm>
                          <a:prstGeom prst="rect">
                            <a:avLst/>
                          </a:prstGeom>
                          <a:solidFill>
                            <a:srgbClr val="4DE600"/>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 name="矩形 37"/>
                        <wps:cNvSpPr/>
                        <wps:spPr>
                          <a:xfrm>
                            <a:off x="9835" y="253846"/>
                            <a:ext cx="1142" cy="353"/>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5FFEAE0">
                              <w:pPr>
                                <w:spacing w:line="240" w:lineRule="auto"/>
                                <w:ind w:firstLine="0" w:firstLineChars="0"/>
                                <w:jc w:val="left"/>
                                <w:rPr>
                                  <w:rFonts w:ascii="微软雅黑" w:hAnsi="微软雅黑" w:eastAsia="微软雅黑" w:cs="微软雅黑"/>
                                  <w:color w:val="000000" w:themeColor="text1"/>
                                  <w:sz w:val="8"/>
                                  <w:szCs w:val="8"/>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1"/>
                                  <w:szCs w:val="11"/>
                                  <w14:textFill>
                                    <w14:solidFill>
                                      <w14:schemeClr w14:val="tx1"/>
                                    </w14:solidFill>
                                  </w14:textFill>
                                  <w14:props3d w14:extrusionH="0" w14:contourW="0" w14:prstMaterial="clear"/>
                                </w:rPr>
                                <w:t>优先保护单元</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8" name="矩形 39"/>
                        <wps:cNvSpPr/>
                        <wps:spPr>
                          <a:xfrm>
                            <a:off x="9755" y="254171"/>
                            <a:ext cx="158" cy="158"/>
                          </a:xfrm>
                          <a:prstGeom prst="rect">
                            <a:avLst/>
                          </a:prstGeom>
                          <a:solidFill>
                            <a:srgbClr val="F67A7A"/>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9" name="矩形 38"/>
                        <wps:cNvSpPr/>
                        <wps:spPr>
                          <a:xfrm>
                            <a:off x="9835" y="254078"/>
                            <a:ext cx="1152" cy="353"/>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AF1B54F">
                              <w:pPr>
                                <w:spacing w:line="240" w:lineRule="auto"/>
                                <w:ind w:firstLine="0" w:firstLineChars="0"/>
                                <w:jc w:val="left"/>
                                <w:rPr>
                                  <w:rFonts w:ascii="微软雅黑" w:hAnsi="微软雅黑" w:eastAsia="微软雅黑" w:cs="微软雅黑"/>
                                  <w:color w:val="000000" w:themeColor="text1"/>
                                  <w:sz w:val="8"/>
                                  <w:szCs w:val="8"/>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1"/>
                                  <w:szCs w:val="11"/>
                                  <w14:textFill>
                                    <w14:solidFill>
                                      <w14:schemeClr w14:val="tx1"/>
                                    </w14:solidFill>
                                  </w14:textFill>
                                  <w14:props3d w14:extrusionH="0" w14:contourW="0" w14:prstMaterial="clear"/>
                                </w:rPr>
                                <w:t>重点管控单元</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0" name="矩形 41"/>
                        <wps:cNvSpPr/>
                        <wps:spPr>
                          <a:xfrm>
                            <a:off x="9755" y="254396"/>
                            <a:ext cx="158" cy="158"/>
                          </a:xfrm>
                          <a:prstGeom prst="rect">
                            <a:avLst/>
                          </a:prstGeom>
                          <a:solidFill>
                            <a:srgbClr val="F6EBAB"/>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1" name="矩形 40"/>
                        <wps:cNvSpPr/>
                        <wps:spPr>
                          <a:xfrm>
                            <a:off x="9835" y="254303"/>
                            <a:ext cx="1171" cy="353"/>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24999A2">
                              <w:pPr>
                                <w:spacing w:line="240" w:lineRule="auto"/>
                                <w:ind w:firstLine="0" w:firstLineChars="0"/>
                                <w:jc w:val="left"/>
                                <w:rPr>
                                  <w:rFonts w:ascii="微软雅黑" w:hAnsi="微软雅黑" w:eastAsia="微软雅黑" w:cs="微软雅黑"/>
                                  <w:color w:val="000000" w:themeColor="text1"/>
                                  <w:sz w:val="8"/>
                                  <w:szCs w:val="8"/>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1"/>
                                  <w:szCs w:val="11"/>
                                  <w14:textFill>
                                    <w14:solidFill>
                                      <w14:schemeClr w14:val="tx1"/>
                                    </w14:solidFill>
                                  </w14:textFill>
                                  <w14:props3d w14:extrusionH="0" w14:contourW="0" w14:prstMaterial="clear"/>
                                </w:rPr>
                                <w:t>一般管控单元</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52.2pt;margin-top:152.15pt;height:40.5pt;width:62.55pt;z-index:251662336;mso-width-relative:page;mso-height-relative:page;" coordorigin="9755,253846" coordsize="1251,810" o:gfxdata="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">
                <o:lock v:ext="edit" aspectratio="f"/>
                <v:rect id="矩形 35" o:spid="_x0000_s1026" o:spt="1" style="position:absolute;left:9755;top:253939;height:158;width:158;v-text-anchor:middle;" fillcolor="#4DE600" filled="t" stroked="t" coordsize="21600,21600" o:gfxdata="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s8U3vQAA&#10;ANsAAAAPAAAAAAAAAAEAIAAAACIAAABkcnMvZG93bnJldi54bWxQSwECFAAUAAAACACHTuJAMy8F&#10;njsAAAA5AAAAEAAAAAAAAAABACAAAAAMAQAAZHJzL3NoYXBleG1sLnhtbFBLBQYAAAAABgAGAFsB&#10;AAC2AwAAAAA=&#10;">
                  <v:fill on="t" focussize="0,0"/>
                  <v:stroke weight="1pt" color="#FFFFFF [3212]" miterlimit="8" joinstyle="miter"/>
                  <v:imagedata o:title=""/>
                  <o:lock v:ext="edit" aspectratio="f"/>
                </v:rect>
                <v:rect id="矩形 37" o:spid="_x0000_s1026" o:spt="1" style="position:absolute;left:9835;top:253846;height:353;width:1142;v-text-anchor:middle;" filled="f" stroked="f" coordsize="21600,21600" o:gfxdata="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QESpS8AAAA&#10;2wAAAA8AAAAAAAAAAQAgAAAAIgAAAGRycy9kb3ducmV2LnhtbFBLAQIUABQAAAAIAIdO4kAzLwWe&#10;OwAAADkAAAAQAAAAAAAAAAEAIAAAAAsBAABkcnMvc2hhcGV4bWwueG1sUEsFBgAAAAAGAAYAWwEA&#10;ALUDAAAAAA==&#10;">
                  <v:fill on="f" focussize="0,0"/>
                  <v:stroke on="f" weight="1pt" miterlimit="8" joinstyle="miter"/>
                  <v:imagedata o:title=""/>
                  <o:lock v:ext="edit" aspectratio="f"/>
                  <v:textbox>
                    <w:txbxContent>
                      <w:p w14:paraId="65FFEAE0">
                        <w:pPr>
                          <w:spacing w:line="240" w:lineRule="auto"/>
                          <w:ind w:firstLine="0" w:firstLineChars="0"/>
                          <w:jc w:val="left"/>
                          <w:rPr>
                            <w:rFonts w:ascii="微软雅黑" w:hAnsi="微软雅黑" w:eastAsia="微软雅黑" w:cs="微软雅黑"/>
                            <w:color w:val="000000" w:themeColor="text1"/>
                            <w:sz w:val="8"/>
                            <w:szCs w:val="8"/>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1"/>
                            <w:szCs w:val="11"/>
                            <w14:textFill>
                              <w14:solidFill>
                                <w14:schemeClr w14:val="tx1"/>
                              </w14:solidFill>
                            </w14:textFill>
                            <w14:props3d w14:extrusionH="0" w14:contourW="0" w14:prstMaterial="clear"/>
                          </w:rPr>
                          <w:t>优先保护单元</w:t>
                        </w:r>
                      </w:p>
                    </w:txbxContent>
                  </v:textbox>
                </v:rect>
                <v:rect id="矩形 39" o:spid="_x0000_s1026" o:spt="1" style="position:absolute;left:9755;top:254171;height:158;width:158;v-text-anchor:middle;" fillcolor="#F67A7A" filled="t" stroked="t" coordsize="21600,21600" o:gfxdata="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Wj2e1twAAANsAAAAP&#10;AAAAAAAAAAEAIAAAACIAAABkcnMvZG93bnJldi54bWxQSwECFAAUAAAACACHTuJAMy8FnjsAAAA5&#10;AAAAEAAAAAAAAAABACAAAAAGAQAAZHJzL3NoYXBleG1sLnhtbFBLBQYAAAAABgAGAFsBAACwAwAA&#10;AAA=&#10;">
                  <v:fill on="t" focussize="0,0"/>
                  <v:stroke weight="1pt" color="#FFFFFF [3212]" miterlimit="8" joinstyle="miter"/>
                  <v:imagedata o:title=""/>
                  <o:lock v:ext="edit" aspectratio="f"/>
                </v:rect>
                <v:rect id="矩形 38" o:spid="_x0000_s1026" o:spt="1" style="position:absolute;left:9835;top:254078;height:353;width:1152;v-text-anchor:middle;" filled="f" stroked="f" coordsize="21600,21600" o:gfxdata="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13t9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14:paraId="1AF1B54F">
                        <w:pPr>
                          <w:spacing w:line="240" w:lineRule="auto"/>
                          <w:ind w:firstLine="0" w:firstLineChars="0"/>
                          <w:jc w:val="left"/>
                          <w:rPr>
                            <w:rFonts w:ascii="微软雅黑" w:hAnsi="微软雅黑" w:eastAsia="微软雅黑" w:cs="微软雅黑"/>
                            <w:color w:val="000000" w:themeColor="text1"/>
                            <w:sz w:val="8"/>
                            <w:szCs w:val="8"/>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1"/>
                            <w:szCs w:val="11"/>
                            <w14:textFill>
                              <w14:solidFill>
                                <w14:schemeClr w14:val="tx1"/>
                              </w14:solidFill>
                            </w14:textFill>
                            <w14:props3d w14:extrusionH="0" w14:contourW="0" w14:prstMaterial="clear"/>
                          </w:rPr>
                          <w:t>重点管控单元</w:t>
                        </w:r>
                      </w:p>
                    </w:txbxContent>
                  </v:textbox>
                </v:rect>
                <v:rect id="矩形 41" o:spid="_x0000_s1026" o:spt="1" style="position:absolute;left:9755;top:254396;height:158;width:158;v-text-anchor:middle;" fillcolor="#F6EBAB" filled="t" stroked="t" coordsize="21600,21600" o:gfxdata="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av3A28AAAA&#10;2wAAAA8AAAAAAAAAAQAgAAAAIgAAAGRycy9kb3ducmV2LnhtbFBLAQIUABQAAAAIAIdO4kAzLwWe&#10;OwAAADkAAAAQAAAAAAAAAAEAIAAAAAsBAABkcnMvc2hhcGV4bWwueG1sUEsFBgAAAAAGAAYAWwEA&#10;ALUDAAAAAA==&#10;">
                  <v:fill on="t" focussize="0,0"/>
                  <v:stroke weight="1pt" color="#FFFFFF [3212]" miterlimit="8" joinstyle="miter"/>
                  <v:imagedata o:title=""/>
                  <o:lock v:ext="edit" aspectratio="f"/>
                </v:rect>
                <v:rect id="矩形 40" o:spid="_x0000_s1026" o:spt="1" style="position:absolute;left:9835;top:254303;height:353;width:1171;v-text-anchor:middle;" filled="f" stroked="f" coordsize="21600,21600" o:gfxdata="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44aa8AAAA&#10;2wAAAA8AAAAAAAAAAQAgAAAAIgAAAGRycy9kb3ducmV2LnhtbFBLAQIUABQAAAAIAIdO4kAzLwWe&#10;OwAAADkAAAAQAAAAAAAAAAEAIAAAAAsBAABkcnMvc2hhcGV4bWwueG1sUEsFBgAAAAAGAAYAWwEA&#10;ALUDAAAAAA==&#10;">
                  <v:fill on="f" focussize="0,0"/>
                  <v:stroke on="f" weight="1pt" miterlimit="8" joinstyle="miter"/>
                  <v:imagedata o:title=""/>
                  <o:lock v:ext="edit" aspectratio="f"/>
                  <v:textbox>
                    <w:txbxContent>
                      <w:p w14:paraId="124999A2">
                        <w:pPr>
                          <w:spacing w:line="240" w:lineRule="auto"/>
                          <w:ind w:firstLine="0" w:firstLineChars="0"/>
                          <w:jc w:val="left"/>
                          <w:rPr>
                            <w:rFonts w:ascii="微软雅黑" w:hAnsi="微软雅黑" w:eastAsia="微软雅黑" w:cs="微软雅黑"/>
                            <w:color w:val="000000" w:themeColor="text1"/>
                            <w:sz w:val="8"/>
                            <w:szCs w:val="8"/>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1"/>
                            <w:szCs w:val="11"/>
                            <w14:textFill>
                              <w14:solidFill>
                                <w14:schemeClr w14:val="tx1"/>
                              </w14:solidFill>
                            </w14:textFill>
                            <w14:props3d w14:extrusionH="0" w14:contourW="0" w14:prstMaterial="clear"/>
                          </w:rPr>
                          <w:t>一般管控单元</w:t>
                        </w:r>
                      </w:p>
                    </w:txbxContent>
                  </v:textbox>
                </v:rect>
              </v:group>
            </w:pict>
          </mc:Fallback>
        </mc:AlternateContent>
      </w:r>
      <w:r>
        <w:rPr>
          <w:rFonts w:hint="eastAsia" w:ascii="宋体" w:hAnsi="宋体" w:eastAsia="宋体" w:cs="宋体"/>
        </w:rPr>
        <mc:AlternateContent>
          <mc:Choice Requires="wps">
            <w:drawing>
              <wp:anchor distT="0" distB="0" distL="114300" distR="114300" simplePos="0" relativeHeight="251667456" behindDoc="0" locked="0" layoutInCell="1" allowOverlap="1">
                <wp:simplePos x="0" y="0"/>
                <wp:positionH relativeFrom="column">
                  <wp:posOffset>1026795</wp:posOffset>
                </wp:positionH>
                <wp:positionV relativeFrom="paragraph">
                  <wp:posOffset>410210</wp:posOffset>
                </wp:positionV>
                <wp:extent cx="716280" cy="265430"/>
                <wp:effectExtent l="0" t="0" r="0" b="0"/>
                <wp:wrapNone/>
                <wp:docPr id="22" name="矩形 22"/>
                <wp:cNvGraphicFramePr/>
                <a:graphic xmlns:a="http://schemas.openxmlformats.org/drawingml/2006/main">
                  <a:graphicData uri="http://schemas.microsoft.com/office/word/2010/wordprocessingShape">
                    <wps:wsp>
                      <wps:cNvSpPr/>
                      <wps:spPr>
                        <a:xfrm>
                          <a:off x="0" y="0"/>
                          <a:ext cx="716280" cy="26543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B964DB9">
                            <w:pPr>
                              <w:ind w:firstLine="0" w:firstLineChars="0"/>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巴彦淖尔市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0.85pt;margin-top:32.3pt;height:20.9pt;width:56.4pt;z-index:251667456;v-text-anchor:middle;mso-width-relative:page;mso-height-relative:page;" filled="f" stroked="f" coordsize="21600,21600" o:gfxdata="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lDSQbXAAAACgEAAA8AAAAAAAAAAQAgAAAAIgAAAGRycy9kb3ducmV2LnhtbFBLAQIUABQAAAAI&#10;AIdO4kAga6o5YAIAAK4EAAAOAAAAAAAAAAEAIAAAACYBAABkcnMvZTJvRG9jLnhtbFBLBQYAAAAA&#10;BgAGAFkBAAD4BQAAAAA=&#10;">
                <v:fill on="f" focussize="0,0"/>
                <v:stroke on="f" weight="1pt" miterlimit="8" joinstyle="miter"/>
                <v:imagedata o:title=""/>
                <o:lock v:ext="edit" aspectratio="f"/>
                <v:textbox>
                  <w:txbxContent>
                    <w:p w14:paraId="4B964DB9">
                      <w:pPr>
                        <w:ind w:firstLine="0" w:firstLineChars="0"/>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巴彦淖尔市</w:t>
                      </w:r>
                    </w:p>
                  </w:txbxContent>
                </v:textbox>
              </v:rect>
            </w:pict>
          </mc:Fallback>
        </mc:AlternateContent>
      </w:r>
      <w:r>
        <w:rPr>
          <w:rFonts w:hint="eastAsia" w:ascii="宋体" w:hAnsi="宋体" w:eastAsia="宋体" w:cs="宋体"/>
        </w:rPr>
        <mc:AlternateContent>
          <mc:Choice Requires="wps">
            <w:drawing>
              <wp:anchor distT="0" distB="0" distL="114300" distR="114300" simplePos="0" relativeHeight="251666432" behindDoc="0" locked="0" layoutInCell="1" allowOverlap="1">
                <wp:simplePos x="0" y="0"/>
                <wp:positionH relativeFrom="column">
                  <wp:posOffset>4045585</wp:posOffset>
                </wp:positionH>
                <wp:positionV relativeFrom="paragraph">
                  <wp:posOffset>452120</wp:posOffset>
                </wp:positionV>
                <wp:extent cx="582295" cy="265430"/>
                <wp:effectExtent l="0" t="0" r="0" b="0"/>
                <wp:wrapNone/>
                <wp:docPr id="21" name="矩形 21"/>
                <wp:cNvGraphicFramePr/>
                <a:graphic xmlns:a="http://schemas.openxmlformats.org/drawingml/2006/main">
                  <a:graphicData uri="http://schemas.microsoft.com/office/word/2010/wordprocessingShape">
                    <wps:wsp>
                      <wps:cNvSpPr/>
                      <wps:spPr>
                        <a:xfrm>
                          <a:off x="0" y="0"/>
                          <a:ext cx="582295" cy="26543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8A5D898">
                            <w:pPr>
                              <w:spacing w:line="240" w:lineRule="auto"/>
                              <w:ind w:firstLine="0" w:firstLineChars="0"/>
                              <w:jc w:val="center"/>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包头市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8.55pt;margin-top:35.6pt;height:20.9pt;width:45.85pt;z-index:251666432;v-text-anchor:middle;mso-width-relative:page;mso-height-relative:page;" filled="f" stroked="f" coordsize="21600,21600" o:gfxdata="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8m3KXXAAAACgEAAA8AAAAAAAAAAQAgAAAAIgAAAGRycy9kb3ducmV2LnhtbFBLAQIUABQAAAAI&#10;AIdO4kC4bnlWYAIAAK4EAAAOAAAAAAAAAAEAIAAAACYBAABkcnMvZTJvRG9jLnhtbFBLBQYAAAAA&#10;BgAGAFkBAAD4BQAAAAA=&#10;">
                <v:fill on="f" focussize="0,0"/>
                <v:stroke on="f" weight="1pt" miterlimit="8" joinstyle="miter"/>
                <v:imagedata o:title=""/>
                <o:lock v:ext="edit" aspectratio="f"/>
                <v:textbox>
                  <w:txbxContent>
                    <w:p w14:paraId="78A5D898">
                      <w:pPr>
                        <w:spacing w:line="240" w:lineRule="auto"/>
                        <w:ind w:firstLine="0" w:firstLineChars="0"/>
                        <w:jc w:val="center"/>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包头市</w:t>
                      </w:r>
                    </w:p>
                  </w:txbxContent>
                </v:textbox>
              </v:rect>
            </w:pict>
          </mc:Fallback>
        </mc:AlternateContent>
      </w:r>
      <w:r>
        <w:rPr>
          <w:rFonts w:hint="eastAsia" w:ascii="宋体" w:hAnsi="宋体" w:eastAsia="宋体" w:cs="宋体"/>
        </w:rPr>
        <mc:AlternateContent>
          <mc:Choice Requires="wps">
            <w:drawing>
              <wp:anchor distT="0" distB="0" distL="114300" distR="114300" simplePos="0" relativeHeight="251663360" behindDoc="0" locked="0" layoutInCell="1" allowOverlap="1">
                <wp:simplePos x="0" y="0"/>
                <wp:positionH relativeFrom="column">
                  <wp:posOffset>628650</wp:posOffset>
                </wp:positionH>
                <wp:positionV relativeFrom="paragraph">
                  <wp:posOffset>1794510</wp:posOffset>
                </wp:positionV>
                <wp:extent cx="582295" cy="265430"/>
                <wp:effectExtent l="0" t="0" r="0" b="0"/>
                <wp:wrapNone/>
                <wp:docPr id="9" name="矩形 9"/>
                <wp:cNvGraphicFramePr/>
                <a:graphic xmlns:a="http://schemas.openxmlformats.org/drawingml/2006/main">
                  <a:graphicData uri="http://schemas.microsoft.com/office/word/2010/wordprocessingShape">
                    <wps:wsp>
                      <wps:cNvSpPr/>
                      <wps:spPr>
                        <a:xfrm>
                          <a:off x="0" y="0"/>
                          <a:ext cx="582295" cy="26543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725A8B7">
                            <w:pPr>
                              <w:spacing w:line="240" w:lineRule="auto"/>
                              <w:ind w:firstLine="0" w:firstLineChars="0"/>
                              <w:jc w:val="center"/>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乌海市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5pt;margin-top:141.3pt;height:20.9pt;width:45.85pt;z-index:251663360;v-text-anchor:middle;mso-width-relative:page;mso-height-relative:page;" filled="f" stroked="f" coordsize="21600,21600" o:gfxdata="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7pLVo2AAAAAoBAAAPAAAAAAAAAAEAIAAAACIAAABkcnMvZG93bnJldi54bWxQSwECFAAUAAAA&#10;CACHTuJAVKkTE2ACAACsBAAADgAAAAAAAAABACAAAAAnAQAAZHJzL2Uyb0RvYy54bWxQSwUGAAAA&#10;AAYABgBZAQAA+QUAAAAA&#10;">
                <v:fill on="f" focussize="0,0"/>
                <v:stroke on="f" weight="1pt" miterlimit="8" joinstyle="miter"/>
                <v:imagedata o:title=""/>
                <o:lock v:ext="edit" aspectratio="f"/>
                <v:textbox>
                  <w:txbxContent>
                    <w:p w14:paraId="2725A8B7">
                      <w:pPr>
                        <w:spacing w:line="240" w:lineRule="auto"/>
                        <w:ind w:firstLine="0" w:firstLineChars="0"/>
                        <w:jc w:val="center"/>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乌海市</w:t>
                      </w:r>
                    </w:p>
                  </w:txbxContent>
                </v:textbox>
              </v:rect>
            </w:pict>
          </mc:Fallback>
        </mc:AlternateContent>
      </w:r>
      <w:r>
        <w:rPr>
          <w:rFonts w:hint="eastAsia" w:ascii="宋体" w:hAnsi="宋体" w:eastAsia="宋体" w:cs="宋体"/>
        </w:rPr>
        <w:drawing>
          <wp:inline distT="0" distB="0" distL="114300" distR="114300">
            <wp:extent cx="5279390" cy="2523490"/>
            <wp:effectExtent l="0" t="0" r="8890" b="6350"/>
            <wp:docPr id="5" name="图片 5" descr="D:/联合赤道工作资料/26-05-13 乌海银行TNFD/05 GIS和数据/WH_EcoZone.pngWH_Eco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联合赤道工作资料/26-05-13 乌海银行TNFD/05 GIS和数据/WH_EcoZone.pngWH_EcoZone"/>
                    <pic:cNvPicPr>
                      <a:picLocks noChangeAspect="1"/>
                    </pic:cNvPicPr>
                  </pic:nvPicPr>
                  <pic:blipFill>
                    <a:blip r:embed="rId32"/>
                    <a:srcRect l="2767" t="21605" r="3840" b="15267"/>
                    <a:stretch>
                      <a:fillRect/>
                    </a:stretch>
                  </pic:blipFill>
                  <pic:spPr>
                    <a:xfrm>
                      <a:off x="0" y="0"/>
                      <a:ext cx="5279390" cy="2523490"/>
                    </a:xfrm>
                    <a:prstGeom prst="rect">
                      <a:avLst/>
                    </a:prstGeom>
                  </pic:spPr>
                </pic:pic>
              </a:graphicData>
            </a:graphic>
          </wp:inline>
        </w:drawing>
      </w:r>
    </w:p>
    <w:p w14:paraId="786F238D">
      <w:pPr>
        <w:pStyle w:val="14"/>
        <w:rPr>
          <w:rFonts w:ascii="宋体" w:hAnsi="宋体" w:eastAsia="宋体" w:cs="宋体"/>
        </w:rPr>
      </w:pPr>
      <w:r>
        <w:rPr>
          <w:rFonts w:hint="eastAsia" w:ascii="宋体" w:hAnsi="宋体" w:eastAsia="宋体" w:cs="宋体"/>
        </w:rPr>
        <w:t>图</w:t>
      </w:r>
      <w:r>
        <w:rPr>
          <w:rFonts w:eastAsia="宋体" w:cs="Times New Roman"/>
        </w:rPr>
        <w:t>7</w:t>
      </w:r>
      <w:r>
        <w:rPr>
          <w:rFonts w:hint="eastAsia" w:ascii="宋体" w:hAnsi="宋体" w:eastAsia="宋体" w:cs="宋体"/>
        </w:rPr>
        <w:t>.受评企业/项目运营点位生态敏感性结果</w:t>
      </w:r>
    </w:p>
    <w:p w14:paraId="4EA1CC8B">
      <w:pPr>
        <w:ind w:firstLine="560"/>
        <w:rPr>
          <w:rFonts w:ascii="宋体" w:hAnsi="宋体" w:eastAsia="宋体" w:cs="宋体"/>
        </w:rPr>
      </w:pPr>
      <w:r>
        <w:rPr>
          <w:rFonts w:hint="eastAsia" w:ascii="宋体" w:hAnsi="宋体" w:eastAsia="宋体" w:cs="宋体"/>
        </w:rPr>
        <w:t>根据生态敏感性分析结果显示，所有受评企业/项目均未落位于“优先保护单元”，自然风险较低。其中，</w:t>
      </w:r>
      <w:r>
        <w:rPr>
          <w:rFonts w:eastAsia="宋体" w:cs="Times New Roman"/>
        </w:rPr>
        <w:t>1</w:t>
      </w:r>
      <w:r>
        <w:rPr>
          <w:rFonts w:hint="eastAsia" w:ascii="宋体" w:hAnsi="宋体" w:eastAsia="宋体" w:cs="宋体"/>
        </w:rPr>
        <w:t>家电力、热力、燃气及水生产和供应业企业（太阳能发电）邻近生态极为敏感的“优先保护单元”，其余受评企业/项目均位于“一般管控单元”和“重点管控单元”。</w:t>
      </w:r>
    </w:p>
    <w:p w14:paraId="203E4879">
      <w:pPr>
        <w:ind w:firstLine="560"/>
        <w:rPr>
          <w:rFonts w:ascii="宋体" w:hAnsi="宋体" w:eastAsia="宋体" w:cs="宋体"/>
        </w:rPr>
      </w:pPr>
      <w:r>
        <w:rPr>
          <w:rFonts w:hint="eastAsia" w:ascii="宋体" w:hAnsi="宋体" w:eastAsia="宋体" w:cs="宋体"/>
        </w:rPr>
        <w:t>太阳能发电项目总体具有较低运行期温室气体排放特征，有助于替代化石能源、降低电力生产环节碳排放，但其建设和运营仍可能对自然环境形成一定扰动。项目施工期可能产生扬尘、施工噪声、车辆尾气及建筑垃圾；运营期可能存在设备运行噪声、组件反光对周边居民、鸟类活动和景观环境的影响，以及逆变器、变压器等设备带来的局部噪声和电磁影响。项目还涉及较大面积土地占用，若选址不当，可能改变原有土地利用方式，影响地表植被、土壤结构、水土保持功能及局部生境连通性；退役组件、废旧电缆、逆变器、电池等如处置不当，也可能形成固体废物和潜在污染风险。</w:t>
      </w:r>
    </w:p>
    <w:p w14:paraId="4256E830">
      <w:pPr>
        <w:ind w:firstLine="560"/>
        <w:rPr>
          <w:rFonts w:ascii="宋体" w:hAnsi="宋体" w:eastAsia="宋体" w:cs="宋体"/>
        </w:rPr>
      </w:pPr>
      <w:r>
        <w:rPr>
          <w:rFonts w:hint="eastAsia" w:ascii="宋体" w:hAnsi="宋体" w:eastAsia="宋体" w:cs="宋体"/>
        </w:rPr>
        <w:t>针对上述自然相关影响，本行在支持太阳能发电项目时，将项目选址合规性、生态敏感区避让、土地利用性质、环境影响评价及批复、施工期环保措施、运营期噪声与反光控制、废旧组件回收处置安排等作为授信调查和审批的重要关注内容。对于涉及生态保护红线、自然保护地、重要湿地、鸟类迁徙通道、水土流失敏感区等区域的项目，审慎介入或要求客户提供充分的合规论证和缓释措施。在贷后管理中，本行持续跟踪项目环保设施运行、固废处置合同、退役组件回收机制及生态恢复措施落实情况，引导客户采用低影响施工、植被恢复、光伏板下生态修复或复合利用等方式，降低项目对土地、生境和生物多样性的影响，实现清洁能源发展与自然保护的协调。</w:t>
      </w:r>
    </w:p>
    <w:p w14:paraId="40842539">
      <w:pPr>
        <w:ind w:firstLine="560"/>
        <w:rPr>
          <w:rFonts w:ascii="宋体" w:hAnsi="宋体" w:eastAsia="宋体" w:cs="宋体"/>
        </w:rPr>
      </w:pPr>
      <w:r>
        <w:rPr>
          <w:rFonts w:hint="eastAsia" w:ascii="宋体" w:hAnsi="宋体" w:eastAsia="宋体" w:cs="宋体"/>
        </w:rPr>
        <w:t>除“优先保护单元”外，本行客户部分集中于生态环境风险管控要求较高的“重点管控单元”。该类区域通常为城镇开发区、产业集聚区及资源利用强度较高区域，开发强度较大、资源利用集中，部分区域存在污染物排放压力和环境承载约束，对生态环境管理及风险防控提出更高要求。在此类区域内，企业经营活动与资源利用效率、污染治理能力及环境合规水平密切相关。相关环境约束可能通过生产成本上升、排放管控趋严及产能调整等方式影响企业经营状况，并进一步传导至本行信贷资产质量。基于此，本行在业务开展中，将区域生态约束与行业特征相结合，通过差异化授信管理及持续监测机制，加强对重点管控单元内客户的风险识别与动态管理，在防范信贷风险的同时，支持区域实现生态环境保护与经济发展的协调推进。</w:t>
      </w:r>
    </w:p>
    <w:p w14:paraId="3B9436CF">
      <w:pPr>
        <w:pStyle w:val="4"/>
        <w:rPr>
          <w:rFonts w:ascii="宋体" w:hAnsi="宋体" w:eastAsia="宋体" w:cs="宋体"/>
        </w:rPr>
      </w:pPr>
      <w:bookmarkStart w:id="180" w:name="_Toc3146"/>
      <w:r>
        <w:rPr>
          <w:rFonts w:hint="eastAsia" w:ascii="宋体" w:hAnsi="宋体" w:eastAsia="宋体" w:cs="宋体"/>
        </w:rPr>
        <w:t>物种多样性</w:t>
      </w:r>
    </w:p>
    <w:p w14:paraId="094BBDB1">
      <w:pPr>
        <w:ind w:firstLine="0" w:firstLineChars="0"/>
        <w:rPr>
          <w:rFonts w:ascii="宋体" w:hAnsi="宋体" w:eastAsia="宋体" w:cs="宋体"/>
          <w:b/>
          <w:bCs/>
        </w:rPr>
      </w:pPr>
      <w:r>
        <w:rPr>
          <w:rFonts w:hint="eastAsia" w:ascii="宋体" w:hAnsi="宋体" w:eastAsia="宋体" w:cs="宋体"/>
        </w:rPr>
        <mc:AlternateContent>
          <mc:Choice Requires="wps">
            <w:drawing>
              <wp:anchor distT="0" distB="0" distL="114300" distR="114300" simplePos="0" relativeHeight="251664384" behindDoc="0" locked="0" layoutInCell="1" allowOverlap="1">
                <wp:simplePos x="0" y="0"/>
                <wp:positionH relativeFrom="column">
                  <wp:posOffset>2263775</wp:posOffset>
                </wp:positionH>
                <wp:positionV relativeFrom="paragraph">
                  <wp:posOffset>1909445</wp:posOffset>
                </wp:positionV>
                <wp:extent cx="582295" cy="265430"/>
                <wp:effectExtent l="0" t="0" r="0" b="0"/>
                <wp:wrapNone/>
                <wp:docPr id="11" name="矩形 11"/>
                <wp:cNvGraphicFramePr/>
                <a:graphic xmlns:a="http://schemas.openxmlformats.org/drawingml/2006/main">
                  <a:graphicData uri="http://schemas.microsoft.com/office/word/2010/wordprocessingShape">
                    <wps:wsp>
                      <wps:cNvSpPr/>
                      <wps:spPr>
                        <a:xfrm>
                          <a:off x="0" y="0"/>
                          <a:ext cx="582295" cy="26543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CAF89D5">
                            <w:pPr>
                              <w:spacing w:line="240" w:lineRule="auto"/>
                              <w:ind w:firstLine="0" w:firstLineChars="0"/>
                              <w:jc w:val="center"/>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乌海市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8.25pt;margin-top:150.35pt;height:20.9pt;width:45.85pt;z-index:251664384;v-text-anchor:middle;mso-width-relative:page;mso-height-relative:page;" filled="f" stroked="f" coordsize="21600,21600" o:gfxdata="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RZc2dkAAAALAQAADwAAAAAAAAABACAAAAAiAAAAZHJzL2Rvd25yZXYueG1sUEsBAhQAFAAA&#10;AAgAh07iQD4njWdgAgAArgQAAA4AAAAAAAAAAQAgAAAAKAEAAGRycy9lMm9Eb2MueG1sUEsFBgAA&#10;AAAGAAYAWQEAAPoFAAAAAA==&#10;">
                <v:fill on="f" focussize="0,0"/>
                <v:stroke on="f" weight="1pt" miterlimit="8" joinstyle="miter"/>
                <v:imagedata o:title=""/>
                <o:lock v:ext="edit" aspectratio="f"/>
                <v:textbox>
                  <w:txbxContent>
                    <w:p w14:paraId="7CAF89D5">
                      <w:pPr>
                        <w:spacing w:line="240" w:lineRule="auto"/>
                        <w:ind w:firstLine="0" w:firstLineChars="0"/>
                        <w:jc w:val="center"/>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乌海市</w:t>
                      </w:r>
                    </w:p>
                  </w:txbxContent>
                </v:textbox>
              </v:rect>
            </w:pict>
          </mc:Fallback>
        </mc:AlternateContent>
      </w:r>
      <w:r>
        <w:rPr>
          <w:rFonts w:hint="eastAsia" w:ascii="宋体" w:hAnsi="宋体" w:eastAsia="宋体" w:cs="宋体"/>
          <w:b/>
          <w:bCs/>
        </w:rPr>
        <w:drawing>
          <wp:inline distT="0" distB="0" distL="114300" distR="114300">
            <wp:extent cx="5244465" cy="2445385"/>
            <wp:effectExtent l="0" t="0" r="0" b="0"/>
            <wp:docPr id="10" name="图片 10" descr="D:/联合赤道工作资料/26-05-13 乌海银行TNFD/05 GIS和数据/WH_SpeciesAddLegend.pngWH_SpeciesAdd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联合赤道工作资料/26-05-13 乌海银行TNFD/05 GIS和数据/WH_SpeciesAddLegend.pngWH_SpeciesAddLegend"/>
                    <pic:cNvPicPr>
                      <a:picLocks noChangeAspect="1"/>
                    </pic:cNvPicPr>
                  </pic:nvPicPr>
                  <pic:blipFill>
                    <a:blip r:embed="rId33"/>
                    <a:srcRect t="18590" b="15474"/>
                    <a:stretch>
                      <a:fillRect/>
                    </a:stretch>
                  </pic:blipFill>
                  <pic:spPr>
                    <a:xfrm>
                      <a:off x="0" y="0"/>
                      <a:ext cx="5244465" cy="2445385"/>
                    </a:xfrm>
                    <a:prstGeom prst="rect">
                      <a:avLst/>
                    </a:prstGeom>
                  </pic:spPr>
                </pic:pic>
              </a:graphicData>
            </a:graphic>
          </wp:inline>
        </w:drawing>
      </w:r>
    </w:p>
    <w:p w14:paraId="0DFA34E7">
      <w:pPr>
        <w:pStyle w:val="14"/>
        <w:rPr>
          <w:rFonts w:ascii="宋体" w:hAnsi="宋体" w:eastAsia="宋体" w:cs="宋体"/>
        </w:rPr>
      </w:pPr>
      <w:r>
        <w:rPr>
          <w:rFonts w:hint="eastAsia" w:ascii="宋体" w:hAnsi="宋体" w:eastAsia="宋体" w:cs="宋体"/>
        </w:rPr>
        <w:t>图</w:t>
      </w:r>
      <w:r>
        <w:rPr>
          <w:rFonts w:eastAsia="宋体" w:cs="Times New Roman"/>
        </w:rPr>
        <w:t>8</w:t>
      </w:r>
      <w:r>
        <w:rPr>
          <w:rFonts w:hint="eastAsia" w:ascii="宋体" w:hAnsi="宋体" w:eastAsia="宋体" w:cs="宋体"/>
        </w:rPr>
        <w:t>.受评企业/项目运营点位与</w:t>
      </w:r>
      <w:r>
        <w:rPr>
          <w:rFonts w:eastAsia="宋体" w:cs="Times New Roman"/>
        </w:rPr>
        <w:t>IUCN</w:t>
      </w:r>
      <w:r>
        <w:rPr>
          <w:rFonts w:hint="eastAsia" w:ascii="宋体" w:hAnsi="宋体" w:eastAsia="宋体" w:cs="宋体"/>
        </w:rPr>
        <w:t>及</w:t>
      </w:r>
      <w:r>
        <w:rPr>
          <w:rFonts w:eastAsia="宋体" w:cs="Times New Roman"/>
        </w:rPr>
        <w:t>RCB</w:t>
      </w:r>
      <w:r>
        <w:rPr>
          <w:rFonts w:hint="eastAsia" w:ascii="宋体" w:hAnsi="宋体" w:eastAsia="宋体" w:cs="宋体"/>
        </w:rPr>
        <w:t>极危（</w:t>
      </w:r>
      <w:r>
        <w:rPr>
          <w:rFonts w:eastAsia="宋体" w:cs="Times New Roman"/>
        </w:rPr>
        <w:t>CR</w:t>
      </w:r>
      <w:r>
        <w:rPr>
          <w:rFonts w:hint="eastAsia" w:ascii="宋体" w:hAnsi="宋体" w:eastAsia="宋体" w:cs="宋体"/>
        </w:rPr>
        <w:t>）、濒危（</w:t>
      </w:r>
      <w:r>
        <w:rPr>
          <w:rFonts w:eastAsia="宋体" w:cs="Times New Roman"/>
        </w:rPr>
        <w:t>EN</w:t>
      </w:r>
      <w:r>
        <w:rPr>
          <w:rFonts w:hint="eastAsia" w:ascii="宋体" w:hAnsi="宋体" w:eastAsia="宋体" w:cs="宋体"/>
        </w:rPr>
        <w:t>）、易危（</w:t>
      </w:r>
      <w:r>
        <w:rPr>
          <w:rFonts w:eastAsia="宋体" w:cs="Times New Roman"/>
        </w:rPr>
        <w:t>VU</w:t>
      </w:r>
      <w:r>
        <w:rPr>
          <w:rFonts w:hint="eastAsia" w:ascii="宋体" w:hAnsi="宋体" w:eastAsia="宋体" w:cs="宋体"/>
        </w:rPr>
        <w:t>）、近危（</w:t>
      </w:r>
      <w:r>
        <w:rPr>
          <w:rFonts w:eastAsia="宋体" w:cs="Times New Roman"/>
        </w:rPr>
        <w:t>NT</w:t>
      </w:r>
      <w:r>
        <w:rPr>
          <w:rFonts w:hint="eastAsia" w:ascii="宋体" w:hAnsi="宋体" w:eastAsia="宋体" w:cs="宋体"/>
        </w:rPr>
        <w:t>）、无危（</w:t>
      </w:r>
      <w:r>
        <w:rPr>
          <w:rFonts w:eastAsia="宋体" w:cs="Times New Roman"/>
        </w:rPr>
        <w:t>LC</w:t>
      </w:r>
      <w:r>
        <w:rPr>
          <w:rFonts w:hint="eastAsia" w:ascii="宋体" w:hAnsi="宋体" w:eastAsia="宋体" w:cs="宋体"/>
        </w:rPr>
        <w:t>）物种</w:t>
      </w:r>
      <w:r>
        <w:rPr>
          <w:rStyle w:val="48"/>
          <w:rFonts w:hint="eastAsia" w:ascii="宋体" w:hAnsi="宋体" w:eastAsia="宋体" w:cs="宋体"/>
        </w:rPr>
        <w:footnoteReference w:id="2"/>
      </w:r>
      <w:r>
        <w:rPr>
          <w:rFonts w:hint="eastAsia" w:ascii="宋体" w:hAnsi="宋体" w:eastAsia="宋体" w:cs="宋体"/>
        </w:rPr>
        <w:t>分布关系</w:t>
      </w:r>
    </w:p>
    <w:p w14:paraId="171F8A2F">
      <w:pPr>
        <w:numPr>
          <w:ilvl w:val="255"/>
          <w:numId w:val="0"/>
        </w:numPr>
        <w:ind w:firstLine="560" w:firstLineChars="200"/>
        <w:rPr>
          <w:rFonts w:ascii="宋体" w:hAnsi="宋体" w:eastAsia="宋体" w:cs="宋体"/>
        </w:rPr>
      </w:pPr>
      <w:r>
        <w:rPr>
          <w:rFonts w:hint="eastAsia" w:ascii="宋体" w:hAnsi="宋体" w:eastAsia="宋体" w:cs="宋体"/>
        </w:rPr>
        <w:t>依据</w:t>
      </w:r>
      <w:r>
        <w:rPr>
          <w:rFonts w:eastAsia="宋体" w:cs="Times New Roman"/>
        </w:rPr>
        <w:t>IUCN</w:t>
      </w:r>
      <w:r>
        <w:rPr>
          <w:rFonts w:hint="eastAsia" w:ascii="宋体" w:hAnsi="宋体" w:eastAsia="宋体" w:cs="宋体"/>
        </w:rPr>
        <w:t>物种分布数据库与自然观察物种分布数据库相关数据，对乌海市域范围内物种分布及受影响情况开展分析。评估结果显示：乌海市内主要分布有濒危（</w:t>
      </w:r>
      <w:r>
        <w:rPr>
          <w:rFonts w:hint="eastAsia" w:eastAsia="宋体" w:cs="Times New Roman"/>
        </w:rPr>
        <w:t>EN</w:t>
      </w:r>
      <w:r>
        <w:rPr>
          <w:rFonts w:hint="eastAsia" w:ascii="宋体" w:hAnsi="宋体" w:eastAsia="宋体" w:cs="宋体"/>
        </w:rPr>
        <w:t>）物种半日花及易危（</w:t>
      </w:r>
      <w:r>
        <w:rPr>
          <w:rFonts w:eastAsia="宋体" w:cs="Times New Roman"/>
        </w:rPr>
        <w:t>VU</w:t>
      </w:r>
      <w:r>
        <w:rPr>
          <w:rFonts w:hint="eastAsia" w:ascii="宋体" w:hAnsi="宋体" w:eastAsia="宋体" w:cs="宋体"/>
        </w:rPr>
        <w:t>）物种内蒙野丁香。结合受评企业/项目运营点位空间分布进一步分析：本次受评企业/项目均不临近</w:t>
      </w:r>
      <w:r>
        <w:rPr>
          <w:rFonts w:eastAsia="宋体" w:cs="Times New Roman"/>
        </w:rPr>
        <w:t>IUCN</w:t>
      </w:r>
      <w:r>
        <w:rPr>
          <w:rFonts w:hint="eastAsia" w:ascii="宋体" w:hAnsi="宋体" w:eastAsia="宋体" w:cs="宋体"/>
        </w:rPr>
        <w:t>及</w:t>
      </w:r>
      <w:r>
        <w:rPr>
          <w:rFonts w:eastAsia="宋体" w:cs="Times New Roman"/>
        </w:rPr>
        <w:t>RCB</w:t>
      </w:r>
      <w:r>
        <w:rPr>
          <w:rFonts w:hint="eastAsia" w:ascii="宋体" w:hAnsi="宋体" w:eastAsia="宋体" w:cs="宋体"/>
        </w:rPr>
        <w:t>认定的濒危（</w:t>
      </w:r>
      <w:r>
        <w:rPr>
          <w:rFonts w:eastAsia="宋体" w:cs="Times New Roman"/>
        </w:rPr>
        <w:t>EN</w:t>
      </w:r>
      <w:r>
        <w:rPr>
          <w:rFonts w:hint="eastAsia" w:ascii="宋体" w:hAnsi="宋体" w:eastAsia="宋体" w:cs="宋体"/>
        </w:rPr>
        <w:t>）及易危（</w:t>
      </w:r>
      <w:r>
        <w:rPr>
          <w:rFonts w:eastAsia="宋体" w:cs="Times New Roman"/>
        </w:rPr>
        <w:t>VU</w:t>
      </w:r>
      <w:r>
        <w:rPr>
          <w:rFonts w:hint="eastAsia" w:ascii="宋体" w:hAnsi="宋体" w:eastAsia="宋体" w:cs="宋体"/>
        </w:rPr>
        <w:t>）物种主要栖息地，产业活动对物种多样性负面影响较低。</w:t>
      </w:r>
    </w:p>
    <w:p w14:paraId="10726703">
      <w:pPr>
        <w:pStyle w:val="4"/>
        <w:rPr>
          <w:rFonts w:ascii="宋体" w:hAnsi="宋体" w:eastAsia="宋体" w:cs="宋体"/>
        </w:rPr>
      </w:pPr>
      <w:r>
        <w:rPr>
          <w:rFonts w:hint="eastAsia" w:ascii="宋体" w:hAnsi="宋体" w:eastAsia="宋体" w:cs="宋体"/>
        </w:rPr>
        <w:t>水资源压力</w:t>
      </w:r>
    </w:p>
    <w:p w14:paraId="593A5106">
      <w:pPr>
        <w:ind w:firstLine="560"/>
        <w:rPr>
          <w:rFonts w:ascii="宋体" w:hAnsi="宋体" w:eastAsia="宋体" w:cs="宋体"/>
        </w:rPr>
      </w:pPr>
      <w:r>
        <w:rPr>
          <w:rFonts w:hint="eastAsia" w:ascii="宋体" w:hAnsi="宋体" w:eastAsia="宋体" w:cs="宋体"/>
        </w:rPr>
        <w:t>我行使用由世界资源研究所（</w:t>
      </w:r>
      <w:r>
        <w:rPr>
          <w:rFonts w:eastAsia="宋体" w:cs="Times New Roman"/>
        </w:rPr>
        <w:t>WRI</w:t>
      </w:r>
      <w:r>
        <w:rPr>
          <w:rFonts w:hint="eastAsia" w:ascii="宋体" w:hAnsi="宋体" w:eastAsia="宋体" w:cs="宋体"/>
        </w:rPr>
        <w:t>）开发的</w:t>
      </w:r>
      <w:r>
        <w:rPr>
          <w:rFonts w:eastAsia="宋体" w:cs="Times New Roman"/>
        </w:rPr>
        <w:t>Aqueduct</w:t>
      </w:r>
      <w:r>
        <w:rPr>
          <w:rFonts w:hint="eastAsia" w:ascii="宋体" w:hAnsi="宋体" w:eastAsia="宋体" w:cs="宋体"/>
        </w:rPr>
        <w:t xml:space="preserve"> </w:t>
      </w:r>
      <w:r>
        <w:rPr>
          <w:rFonts w:eastAsia="宋体" w:cs="Times New Roman"/>
        </w:rPr>
        <w:t>4</w:t>
      </w:r>
      <w:r>
        <w:rPr>
          <w:rFonts w:hint="eastAsia" w:ascii="宋体" w:hAnsi="宋体" w:eastAsia="宋体" w:cs="宋体"/>
        </w:rPr>
        <w:t>.</w:t>
      </w:r>
      <w:r>
        <w:rPr>
          <w:rFonts w:eastAsia="宋体" w:cs="Times New Roman"/>
        </w:rPr>
        <w:t>0</w:t>
      </w:r>
      <w:r>
        <w:rPr>
          <w:rFonts w:hint="eastAsia" w:ascii="宋体" w:hAnsi="宋体" w:eastAsia="宋体" w:cs="宋体"/>
        </w:rPr>
        <w:t xml:space="preserve"> </w:t>
      </w:r>
      <w:r>
        <w:rPr>
          <w:rFonts w:eastAsia="宋体" w:cs="Times New Roman"/>
        </w:rPr>
        <w:t>Water</w:t>
      </w:r>
      <w:r>
        <w:rPr>
          <w:rFonts w:hint="eastAsia" w:ascii="宋体" w:hAnsi="宋体" w:eastAsia="宋体" w:cs="宋体"/>
        </w:rPr>
        <w:t xml:space="preserve"> </w:t>
      </w:r>
      <w:r>
        <w:rPr>
          <w:rFonts w:eastAsia="宋体" w:cs="Times New Roman"/>
        </w:rPr>
        <w:t>Risk</w:t>
      </w:r>
      <w:r>
        <w:rPr>
          <w:rFonts w:hint="eastAsia" w:ascii="宋体" w:hAnsi="宋体" w:eastAsia="宋体" w:cs="宋体"/>
        </w:rPr>
        <w:t xml:space="preserve"> </w:t>
      </w:r>
      <w:r>
        <w:rPr>
          <w:rFonts w:eastAsia="宋体" w:cs="Times New Roman"/>
        </w:rPr>
        <w:t>Atlas</w:t>
      </w:r>
      <w:r>
        <w:rPr>
          <w:rFonts w:hint="eastAsia" w:ascii="宋体" w:hAnsi="宋体" w:eastAsia="宋体" w:cs="宋体"/>
        </w:rPr>
        <w:t>工具对水资源高依赖行业的受评企业/项目进行整体水风险评估，评估内容包括物理风险数量（水资源压力风险、水资源枯竭风险、年际变异性风险、河流洪水风险、干旱风险等）、物理风险质量（未处理污水连接风险等）及监管与声誉风险（未改善/无饮用水风险等）。</w:t>
      </w:r>
    </w:p>
    <w:p w14:paraId="37477AF5">
      <w:pPr>
        <w:ind w:firstLine="0" w:firstLineChars="0"/>
        <w:rPr>
          <w:rFonts w:ascii="宋体" w:hAnsi="宋体" w:eastAsia="宋体" w:cs="宋体"/>
        </w:rPr>
      </w:pPr>
      <w:r>
        <w:rPr>
          <w:rFonts w:hint="eastAsia" w:ascii="宋体" w:hAnsi="宋体" w:eastAsia="宋体" w:cs="宋体"/>
        </w:rPr>
        <mc:AlternateContent>
          <mc:Choice Requires="wps">
            <w:drawing>
              <wp:anchor distT="0" distB="0" distL="114300" distR="114300" simplePos="0" relativeHeight="251665408" behindDoc="0" locked="0" layoutInCell="1" allowOverlap="1">
                <wp:simplePos x="0" y="0"/>
                <wp:positionH relativeFrom="column">
                  <wp:posOffset>2341245</wp:posOffset>
                </wp:positionH>
                <wp:positionV relativeFrom="paragraph">
                  <wp:posOffset>1691005</wp:posOffset>
                </wp:positionV>
                <wp:extent cx="582295" cy="265430"/>
                <wp:effectExtent l="0" t="0" r="0" b="0"/>
                <wp:wrapNone/>
                <wp:docPr id="13" name="矩形 13"/>
                <wp:cNvGraphicFramePr/>
                <a:graphic xmlns:a="http://schemas.openxmlformats.org/drawingml/2006/main">
                  <a:graphicData uri="http://schemas.microsoft.com/office/word/2010/wordprocessingShape">
                    <wps:wsp>
                      <wps:cNvSpPr/>
                      <wps:spPr>
                        <a:xfrm>
                          <a:off x="0" y="0"/>
                          <a:ext cx="582295" cy="26543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90D706D">
                            <w:pPr>
                              <w:spacing w:line="240" w:lineRule="auto"/>
                              <w:ind w:firstLine="0" w:firstLineChars="0"/>
                              <w:jc w:val="center"/>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乌海市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4.35pt;margin-top:133.15pt;height:20.9pt;width:45.85pt;z-index:251665408;v-text-anchor:middle;mso-width-relative:page;mso-height-relative:page;" filled="f" stroked="f" coordsize="21600,21600" o:gfxdata="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IfVo2AAAAAsBAAAPAAAAAAAAAAEAIAAAACIAAABkcnMvZG93bnJldi54bWxQSwECFAAUAAAA&#10;CACHTuJACpYIi2ACAACuBAAADgAAAAAAAAABACAAAAAnAQAAZHJzL2Uyb0RvYy54bWxQSwUGAAAA&#10;AAYABgBZAQAA+QUAAAAA&#10;">
                <v:fill on="f" focussize="0,0"/>
                <v:stroke on="f" weight="1pt" miterlimit="8" joinstyle="miter"/>
                <v:imagedata o:title=""/>
                <o:lock v:ext="edit" aspectratio="f"/>
                <v:textbox>
                  <w:txbxContent>
                    <w:p w14:paraId="290D706D">
                      <w:pPr>
                        <w:spacing w:line="240" w:lineRule="auto"/>
                        <w:ind w:firstLine="0" w:firstLineChars="0"/>
                        <w:jc w:val="center"/>
                        <w:rPr>
                          <w:rFonts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15"/>
                          <w:szCs w:val="15"/>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乌海市</w:t>
                      </w:r>
                    </w:p>
                  </w:txbxContent>
                </v:textbox>
              </v:rect>
            </w:pict>
          </mc:Fallback>
        </mc:AlternateContent>
      </w:r>
      <w:r>
        <w:rPr>
          <w:rFonts w:hint="eastAsia" w:ascii="宋体" w:hAnsi="宋体" w:eastAsia="宋体" w:cs="宋体"/>
        </w:rPr>
        <w:drawing>
          <wp:anchor distT="0" distB="0" distL="114300" distR="114300" simplePos="0" relativeHeight="251659264" behindDoc="0" locked="0" layoutInCell="1" allowOverlap="1">
            <wp:simplePos x="0" y="0"/>
            <wp:positionH relativeFrom="column">
              <wp:posOffset>229870</wp:posOffset>
            </wp:positionH>
            <wp:positionV relativeFrom="paragraph">
              <wp:posOffset>2780665</wp:posOffset>
            </wp:positionV>
            <wp:extent cx="1352550" cy="407035"/>
            <wp:effectExtent l="0" t="0" r="3810" b="4445"/>
            <wp:wrapNone/>
            <wp:docPr id="65" name="图片 65" descr="water stress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water stress legend"/>
                    <pic:cNvPicPr>
                      <a:picLocks noChangeAspect="1"/>
                    </pic:cNvPicPr>
                  </pic:nvPicPr>
                  <pic:blipFill>
                    <a:blip r:embed="rId34"/>
                    <a:stretch>
                      <a:fillRect/>
                    </a:stretch>
                  </pic:blipFill>
                  <pic:spPr>
                    <a:xfrm>
                      <a:off x="0" y="0"/>
                      <a:ext cx="1352550" cy="407035"/>
                    </a:xfrm>
                    <a:prstGeom prst="rect">
                      <a:avLst/>
                    </a:prstGeom>
                  </pic:spPr>
                </pic:pic>
              </a:graphicData>
            </a:graphic>
          </wp:anchor>
        </w:drawing>
      </w:r>
      <w:r>
        <w:rPr>
          <w:rFonts w:hint="eastAsia" w:ascii="宋体" w:hAnsi="宋体" w:eastAsia="宋体" w:cs="宋体"/>
        </w:rPr>
        <w:drawing>
          <wp:inline distT="0" distB="0" distL="114300" distR="114300">
            <wp:extent cx="5288280" cy="3484880"/>
            <wp:effectExtent l="0" t="0" r="0" b="5080"/>
            <wp:docPr id="12" name="图片 12" descr="D:/联合赤道工作资料/26-05-13 乌海银行TNFD/05 GIS和数据/WaterRisk.pngWater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联合赤道工作资料/26-05-13 乌海银行TNFD/05 GIS和数据/WaterRisk.pngWaterRisk"/>
                    <pic:cNvPicPr>
                      <a:picLocks noChangeAspect="1"/>
                    </pic:cNvPicPr>
                  </pic:nvPicPr>
                  <pic:blipFill>
                    <a:blip r:embed="rId35"/>
                    <a:srcRect l="12658" t="18674" r="1876" b="1670"/>
                    <a:stretch>
                      <a:fillRect/>
                    </a:stretch>
                  </pic:blipFill>
                  <pic:spPr>
                    <a:xfrm>
                      <a:off x="0" y="0"/>
                      <a:ext cx="5288280" cy="3484880"/>
                    </a:xfrm>
                    <a:prstGeom prst="rect">
                      <a:avLst/>
                    </a:prstGeom>
                  </pic:spPr>
                </pic:pic>
              </a:graphicData>
            </a:graphic>
          </wp:inline>
        </w:drawing>
      </w:r>
    </w:p>
    <w:p w14:paraId="7AFA518E">
      <w:pPr>
        <w:pStyle w:val="14"/>
        <w:rPr>
          <w:rFonts w:ascii="宋体" w:hAnsi="宋体" w:eastAsia="宋体" w:cs="宋体"/>
        </w:rPr>
      </w:pPr>
      <w:r>
        <w:rPr>
          <w:rFonts w:hint="eastAsia" w:ascii="宋体" w:hAnsi="宋体" w:eastAsia="宋体" w:cs="宋体"/>
        </w:rPr>
        <w:t>图</w:t>
      </w:r>
      <w:r>
        <w:rPr>
          <w:rFonts w:eastAsia="宋体" w:cs="Times New Roman"/>
        </w:rPr>
        <w:t>9</w:t>
      </w:r>
      <w:r>
        <w:rPr>
          <w:rFonts w:hint="eastAsia" w:ascii="宋体" w:hAnsi="宋体" w:eastAsia="宋体" w:cs="宋体"/>
        </w:rPr>
        <w:t>.受评企业/项目水资源压力区域分布</w:t>
      </w:r>
    </w:p>
    <w:p w14:paraId="59FB786F">
      <w:pPr>
        <w:ind w:firstLine="560"/>
        <w:rPr>
          <w:rFonts w:ascii="宋体" w:hAnsi="宋体" w:eastAsia="宋体" w:cs="宋体"/>
        </w:rPr>
      </w:pPr>
      <w:r>
        <w:rPr>
          <w:rFonts w:eastAsia="宋体" w:cs="Times New Roman"/>
        </w:rPr>
        <w:t>2025</w:t>
      </w:r>
      <w:r>
        <w:rPr>
          <w:rFonts w:hint="eastAsia" w:ascii="宋体" w:hAnsi="宋体" w:eastAsia="宋体" w:cs="宋体"/>
        </w:rPr>
        <w:t>年绿色信贷资产所属行业中，仅电力、热力、燃气及水生产和供应业属于水资源高依赖行业，涉及</w:t>
      </w:r>
      <w:r>
        <w:rPr>
          <w:rFonts w:eastAsia="宋体" w:cs="Times New Roman"/>
        </w:rPr>
        <w:t>3</w:t>
      </w:r>
      <w:r>
        <w:rPr>
          <w:rFonts w:hint="eastAsia" w:ascii="宋体" w:hAnsi="宋体" w:eastAsia="宋体" w:cs="宋体"/>
        </w:rPr>
        <w:t>家受评企业及项目。评估结果显示，乌海市范围内受评企业及项目均分布于水资源压力“高”和“极高”等级区域。主要受区域内较高的未处理污水排放风险和卫生设施改善不足等因素影响。在水资源承压方面，各企业呈现明显的地区性同质化特点，个体差异化不明显，主要原因在于乌海市整体位于水资源压力“高”等级区域。</w:t>
      </w:r>
    </w:p>
    <w:p w14:paraId="38D3FD23">
      <w:pPr>
        <w:ind w:firstLine="560"/>
        <w:rPr>
          <w:rFonts w:ascii="宋体" w:hAnsi="宋体" w:eastAsia="宋体" w:cs="宋体"/>
        </w:rPr>
      </w:pPr>
      <w:r>
        <w:rPr>
          <w:rFonts w:hint="eastAsia" w:ascii="宋体" w:hAnsi="宋体" w:eastAsia="宋体" w:cs="宋体"/>
        </w:rPr>
        <w:t>乌海市水风险水平总体较高，主要与区域水资源禀赋偏紧、黄河流域水资源刚性约束、工业用水需求较高以及水污染治理压力有关。乌海位于内蒙古西部干旱、半干旱地区，本地可利用水资源有限，工业和城市发展对黄河水、地下水及再生水等水源依赖较高；同时，煤炭、化工、电力、制造等产业基础突出，部分行业生产经营对水资源供给和取水指标具有较高敏感性，进一步加大了区域水资源配置压力。</w:t>
      </w:r>
    </w:p>
    <w:p w14:paraId="676D0296">
      <w:pPr>
        <w:ind w:firstLine="560"/>
        <w:rPr>
          <w:rFonts w:ascii="宋体" w:hAnsi="宋体" w:eastAsia="宋体" w:cs="宋体"/>
        </w:rPr>
      </w:pPr>
      <w:r>
        <w:rPr>
          <w:rFonts w:hint="eastAsia" w:ascii="宋体" w:hAnsi="宋体" w:eastAsia="宋体" w:cs="宋体"/>
        </w:rPr>
        <w:t>在乌海市水资源压力较高背景下，太阳能发电、电力供应和污水处理及其再生利用虽均具有绿色低碳属性，但其水风险表现存在差异。太阳能发电主要涉及组件清洗用水、施工期地表扰动及土地生态影响；电力供应主要体现为对上游电源结构、供电设施韧性及极端天气应对能力的依赖；污水处理及再生利用则既是缓解区域水资源压力的重要方式，也面临进水水质波动、处理设施稳定运行、出水达标和污泥处置等运营风险。上述因素可能通过项目成本、运营稳定性、合规风险和现金流变化传导至客户偿债能力。</w:t>
      </w:r>
    </w:p>
    <w:p w14:paraId="56C7DD42">
      <w:pPr>
        <w:ind w:firstLine="560"/>
        <w:rPr>
          <w:rFonts w:ascii="宋体" w:hAnsi="宋体" w:eastAsia="宋体" w:cs="宋体"/>
        </w:rPr>
        <w:sectPr>
          <w:footerReference r:id="rId20" w:type="first"/>
          <w:footerReference r:id="rId19" w:type="default"/>
          <w:pgSz w:w="11906" w:h="16838"/>
          <w:pgMar w:top="1440" w:right="1800" w:bottom="1440" w:left="1800" w:header="851" w:footer="992" w:gutter="0"/>
          <w:cols w:space="425" w:num="1"/>
          <w:titlePg/>
          <w:docGrid w:type="lines" w:linePitch="312" w:charSpace="0"/>
        </w:sectPr>
      </w:pPr>
      <w:r>
        <w:rPr>
          <w:rFonts w:hint="eastAsia" w:ascii="宋体" w:hAnsi="宋体" w:eastAsia="宋体" w:cs="宋体"/>
        </w:rPr>
        <w:t>对此，本行在相关项目授信和贷后管理中，结合行业特点开展差异化水风险识别。对于太阳能发电项目，重点关注取水来源、组件清洗方式、节水措施及生态恢复安排；对于电力供应项目，关注电源结构、设备防灾能力、供电稳定性和新能源消纳能力；对于污水处理及再生利用项目，重点核查环评批复、排污许可、处理工艺、进出水水质、再生水利用去向及污泥合规处置情况。通过将水资源压力和水环境风险纳入项目评估，本行可更有效识别自然相关风险，并引导资金支持节水、减污和水资源循环利用。</w:t>
      </w:r>
    </w:p>
    <w:p w14:paraId="38BE82BF">
      <w:pPr>
        <w:keepNext/>
        <w:keepLines/>
        <w:numPr>
          <w:ilvl w:val="0"/>
          <w:numId w:val="1"/>
        </w:numPr>
        <w:ind w:firstLine="200" w:firstLineChars="0"/>
        <w:outlineLvl w:val="0"/>
        <w:rPr>
          <w:rFonts w:eastAsia="宋体" w:cs="Times New Roman"/>
          <w:b/>
          <w:bCs/>
          <w:szCs w:val="28"/>
        </w:rPr>
      </w:pPr>
      <w:bookmarkStart w:id="181" w:name="_Toc16628"/>
      <w:bookmarkStart w:id="182" w:name="_Toc225235192"/>
      <w:bookmarkStart w:id="183" w:name="_Toc15305"/>
      <w:bookmarkStart w:id="184" w:name="_Toc240"/>
      <w:bookmarkStart w:id="185" w:name="_Toc28915"/>
      <w:r>
        <w:rPr>
          <w:rFonts w:eastAsia="宋体" w:cs="Times New Roman"/>
          <w:b/>
          <w:bCs/>
          <w:szCs w:val="28"/>
        </w:rPr>
        <w:t>风险和机遇管理</w:t>
      </w:r>
      <w:bookmarkEnd w:id="181"/>
      <w:bookmarkEnd w:id="182"/>
      <w:bookmarkEnd w:id="183"/>
      <w:bookmarkEnd w:id="184"/>
      <w:bookmarkEnd w:id="185"/>
    </w:p>
    <w:p w14:paraId="4012A5CA">
      <w:pPr>
        <w:snapToGrid/>
        <w:ind w:firstLine="560" w:firstLineChars="0"/>
        <w:jc w:val="left"/>
        <w:rPr>
          <w:rFonts w:eastAsia="宋体" w:cs="Times New Roman"/>
        </w:rPr>
      </w:pPr>
      <w:r>
        <w:rPr>
          <w:rFonts w:hint="eastAsia" w:eastAsia="宋体" w:cs="Times New Roman"/>
        </w:rPr>
        <w:t>本行经营活动与生态环境相互关联，由此带来的依赖与影响，直接或间接转化为业务发展、自身运营及市场评价中的风险或机遇。</w:t>
      </w:r>
    </w:p>
    <w:p w14:paraId="6AC02C82">
      <w:pPr>
        <w:keepNext/>
        <w:keepLines/>
        <w:numPr>
          <w:ilvl w:val="1"/>
          <w:numId w:val="1"/>
        </w:numPr>
        <w:ind w:firstLine="200" w:firstLineChars="0"/>
        <w:outlineLvl w:val="1"/>
        <w:rPr>
          <w:rFonts w:eastAsia="宋体" w:cs="Times New Roman"/>
          <w:b/>
          <w:bCs/>
          <w:szCs w:val="26"/>
        </w:rPr>
      </w:pPr>
      <w:bookmarkStart w:id="186" w:name="_Toc27230"/>
      <w:bookmarkStart w:id="187" w:name="_Toc23925"/>
      <w:bookmarkStart w:id="188" w:name="_Toc225235193"/>
      <w:bookmarkStart w:id="189" w:name="_Toc2500"/>
      <w:bookmarkStart w:id="190" w:name="_Toc19908"/>
      <w:r>
        <w:rPr>
          <w:rFonts w:eastAsia="宋体" w:cs="Times New Roman"/>
          <w:b/>
          <w:bCs/>
          <w:szCs w:val="26"/>
        </w:rPr>
        <w:t>分析自然相关风险</w:t>
      </w:r>
      <w:bookmarkEnd w:id="186"/>
      <w:bookmarkEnd w:id="187"/>
      <w:bookmarkEnd w:id="188"/>
      <w:bookmarkEnd w:id="189"/>
      <w:bookmarkEnd w:id="190"/>
    </w:p>
    <w:p w14:paraId="2C11CAF6">
      <w:pPr>
        <w:snapToGrid/>
        <w:ind w:firstLine="560" w:firstLineChars="0"/>
        <w:jc w:val="center"/>
        <w:rPr>
          <w:rFonts w:eastAsia="宋体" w:cs="Times New Roman"/>
          <w:b/>
          <w:bCs/>
          <w:sz w:val="24"/>
          <w:szCs w:val="21"/>
        </w:rPr>
      </w:pPr>
      <w:r>
        <w:rPr>
          <w:rFonts w:hint="eastAsia" w:eastAsia="宋体" w:cs="Times New Roman"/>
          <w:b/>
          <w:bCs/>
          <w:sz w:val="24"/>
          <w:szCs w:val="21"/>
        </w:rPr>
        <w:t>表</w:t>
      </w:r>
      <w:r>
        <w:rPr>
          <w:rFonts w:eastAsia="宋体" w:cs="Times New Roman"/>
          <w:b/>
          <w:bCs/>
          <w:sz w:val="24"/>
          <w:szCs w:val="21"/>
        </w:rPr>
        <w:t>6</w:t>
      </w:r>
      <w:r>
        <w:rPr>
          <w:rFonts w:hint="eastAsia" w:eastAsia="宋体" w:cs="Times New Roman"/>
          <w:b/>
          <w:bCs/>
          <w:sz w:val="24"/>
          <w:szCs w:val="21"/>
        </w:rPr>
        <w:t>. 乌海银行</w:t>
      </w:r>
      <w:r>
        <w:rPr>
          <w:rFonts w:eastAsia="宋体" w:cs="Times New Roman"/>
          <w:b/>
          <w:bCs/>
          <w:sz w:val="24"/>
          <w:szCs w:val="21"/>
        </w:rPr>
        <w:t>自然相关风险分析</w:t>
      </w:r>
    </w:p>
    <w:tbl>
      <w:tblPr>
        <w:tblStyle w:val="7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5"/>
        <w:gridCol w:w="689"/>
        <w:gridCol w:w="1128"/>
        <w:gridCol w:w="1006"/>
        <w:gridCol w:w="1151"/>
        <w:gridCol w:w="4468"/>
        <w:gridCol w:w="4459"/>
        <w:gridCol w:w="788"/>
      </w:tblGrid>
      <w:tr w14:paraId="2D34E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blHeader/>
          <w:jc w:val="center"/>
        </w:trPr>
        <w:tc>
          <w:tcPr>
            <w:tcW w:w="414" w:type="pct"/>
            <w:gridSpan w:val="2"/>
            <w:tcBorders>
              <w:bottom w:val="nil"/>
              <w:right w:val="nil"/>
              <w:tl2br w:val="nil"/>
              <w:tr2bl w:val="nil"/>
            </w:tcBorders>
            <w:shd w:val="clear" w:color="auto" w:fill="44546A"/>
            <w:vAlign w:val="center"/>
          </w:tcPr>
          <w:p w14:paraId="2F966F0E">
            <w:pPr>
              <w:widowControl w:val="0"/>
              <w:snapToGrid/>
              <w:spacing w:line="240" w:lineRule="auto"/>
              <w:ind w:firstLine="0" w:firstLineChars="0"/>
              <w:jc w:val="center"/>
              <w:rPr>
                <w:rFonts w:ascii="宋体" w:hAnsi="宋体" w:eastAsia="宋体" w:cs="宋体"/>
                <w:b/>
                <w:bCs w:val="0"/>
                <w:color w:val="FFFFFF"/>
                <w:sz w:val="24"/>
                <w:szCs w:val="24"/>
              </w:rPr>
            </w:pPr>
            <w:r>
              <w:rPr>
                <w:rFonts w:hint="eastAsia" w:ascii="宋体" w:hAnsi="宋体" w:eastAsia="宋体" w:cs="宋体"/>
                <w:b/>
                <w:bCs/>
                <w:color w:val="FFFFFF"/>
                <w:sz w:val="24"/>
                <w:szCs w:val="24"/>
              </w:rPr>
              <w:t>风险类型</w:t>
            </w:r>
          </w:p>
        </w:tc>
        <w:tc>
          <w:tcPr>
            <w:tcW w:w="398" w:type="pct"/>
            <w:tcBorders>
              <w:tl2br w:val="nil"/>
              <w:tr2bl w:val="nil"/>
            </w:tcBorders>
            <w:shd w:val="clear" w:color="auto" w:fill="44546A"/>
            <w:vAlign w:val="center"/>
          </w:tcPr>
          <w:p w14:paraId="1DC5A6A6">
            <w:pPr>
              <w:widowControl w:val="0"/>
              <w:snapToGrid/>
              <w:spacing w:line="240" w:lineRule="auto"/>
              <w:ind w:firstLine="0" w:firstLineChars="0"/>
              <w:jc w:val="center"/>
              <w:rPr>
                <w:rFonts w:ascii="宋体" w:hAnsi="宋体" w:eastAsia="宋体" w:cs="宋体"/>
                <w:b/>
                <w:bCs/>
                <w:color w:val="FFFFFF"/>
                <w:sz w:val="24"/>
                <w:szCs w:val="24"/>
              </w:rPr>
            </w:pPr>
            <w:r>
              <w:rPr>
                <w:rFonts w:hint="eastAsia" w:ascii="宋体" w:hAnsi="宋体" w:eastAsia="宋体" w:cs="宋体"/>
                <w:b/>
                <w:bCs/>
                <w:color w:val="FFFFFF"/>
                <w:sz w:val="24"/>
                <w:szCs w:val="24"/>
              </w:rPr>
              <w:t>风险识别</w:t>
            </w:r>
          </w:p>
        </w:tc>
        <w:tc>
          <w:tcPr>
            <w:tcW w:w="355" w:type="pct"/>
            <w:tcBorders>
              <w:tl2br w:val="nil"/>
              <w:tr2bl w:val="nil"/>
            </w:tcBorders>
            <w:shd w:val="clear" w:color="auto" w:fill="44546A"/>
            <w:vAlign w:val="center"/>
          </w:tcPr>
          <w:p w14:paraId="00120ADA">
            <w:pPr>
              <w:widowControl w:val="0"/>
              <w:snapToGrid/>
              <w:spacing w:line="240" w:lineRule="auto"/>
              <w:ind w:firstLine="0" w:firstLineChars="0"/>
              <w:jc w:val="center"/>
              <w:rPr>
                <w:rFonts w:ascii="宋体" w:hAnsi="宋体" w:eastAsia="宋体" w:cs="宋体"/>
                <w:b/>
                <w:bCs w:val="0"/>
                <w:color w:val="FFFFFF"/>
                <w:sz w:val="24"/>
                <w:szCs w:val="24"/>
              </w:rPr>
            </w:pPr>
            <w:r>
              <w:rPr>
                <w:rFonts w:hint="eastAsia" w:ascii="宋体" w:hAnsi="宋体" w:eastAsia="宋体" w:cs="宋体"/>
                <w:b/>
                <w:bCs/>
                <w:color w:val="FFFFFF"/>
                <w:sz w:val="24"/>
                <w:szCs w:val="24"/>
              </w:rPr>
              <w:t>金融风险类型</w:t>
            </w:r>
          </w:p>
        </w:tc>
        <w:tc>
          <w:tcPr>
            <w:tcW w:w="406" w:type="pct"/>
            <w:tcBorders>
              <w:tl2br w:val="nil"/>
              <w:tr2bl w:val="nil"/>
            </w:tcBorders>
            <w:shd w:val="clear" w:color="auto" w:fill="44546A"/>
            <w:vAlign w:val="center"/>
          </w:tcPr>
          <w:p w14:paraId="0AF49261">
            <w:pPr>
              <w:widowControl w:val="0"/>
              <w:snapToGrid/>
              <w:spacing w:line="240" w:lineRule="auto"/>
              <w:ind w:firstLine="0" w:firstLineChars="0"/>
              <w:jc w:val="center"/>
              <w:rPr>
                <w:rFonts w:ascii="宋体" w:hAnsi="宋体" w:eastAsia="宋体" w:cs="宋体"/>
                <w:b/>
                <w:bCs/>
                <w:color w:val="FFFFFF"/>
                <w:sz w:val="24"/>
                <w:szCs w:val="24"/>
              </w:rPr>
            </w:pPr>
            <w:r>
              <w:rPr>
                <w:rFonts w:hint="eastAsia" w:ascii="宋体" w:hAnsi="宋体" w:eastAsia="宋体" w:cs="宋体"/>
                <w:b/>
                <w:bCs/>
                <w:color w:val="FFFFFF"/>
                <w:sz w:val="24"/>
                <w:szCs w:val="24"/>
              </w:rPr>
              <w:t>影响价值链位置</w:t>
            </w:r>
          </w:p>
        </w:tc>
        <w:tc>
          <w:tcPr>
            <w:tcW w:w="1576" w:type="pct"/>
            <w:tcBorders>
              <w:tl2br w:val="nil"/>
              <w:tr2bl w:val="nil"/>
            </w:tcBorders>
            <w:shd w:val="clear" w:color="auto" w:fill="44546A"/>
            <w:vAlign w:val="center"/>
          </w:tcPr>
          <w:p w14:paraId="742854E9">
            <w:pPr>
              <w:widowControl w:val="0"/>
              <w:snapToGrid/>
              <w:spacing w:line="240" w:lineRule="auto"/>
              <w:ind w:firstLine="0" w:firstLineChars="0"/>
              <w:jc w:val="center"/>
              <w:rPr>
                <w:rFonts w:ascii="宋体" w:hAnsi="宋体" w:eastAsia="宋体" w:cs="宋体"/>
                <w:b/>
                <w:bCs w:val="0"/>
                <w:color w:val="FFFFFF"/>
                <w:sz w:val="24"/>
                <w:szCs w:val="24"/>
              </w:rPr>
            </w:pPr>
            <w:r>
              <w:rPr>
                <w:rFonts w:hint="eastAsia" w:ascii="宋体" w:hAnsi="宋体" w:eastAsia="宋体" w:cs="宋体"/>
                <w:b/>
                <w:bCs w:val="0"/>
                <w:color w:val="FFFFFF"/>
                <w:sz w:val="24"/>
                <w:szCs w:val="24"/>
              </w:rPr>
              <w:t>风险影响描述</w:t>
            </w:r>
          </w:p>
        </w:tc>
        <w:tc>
          <w:tcPr>
            <w:tcW w:w="1573" w:type="pct"/>
            <w:tcBorders>
              <w:tl2br w:val="nil"/>
              <w:tr2bl w:val="nil"/>
            </w:tcBorders>
            <w:shd w:val="clear" w:color="auto" w:fill="44546A"/>
            <w:vAlign w:val="center"/>
          </w:tcPr>
          <w:p w14:paraId="3675BC1E">
            <w:pPr>
              <w:widowControl w:val="0"/>
              <w:snapToGrid/>
              <w:spacing w:line="240" w:lineRule="auto"/>
              <w:ind w:firstLine="0" w:firstLineChars="0"/>
              <w:jc w:val="center"/>
              <w:rPr>
                <w:rFonts w:ascii="宋体" w:hAnsi="宋体" w:eastAsia="宋体" w:cs="宋体"/>
                <w:b/>
                <w:bCs/>
                <w:color w:val="FFFFFF"/>
                <w:sz w:val="24"/>
                <w:szCs w:val="24"/>
              </w:rPr>
            </w:pPr>
            <w:r>
              <w:rPr>
                <w:rFonts w:hint="eastAsia" w:ascii="宋体" w:hAnsi="宋体" w:eastAsia="宋体" w:cs="宋体"/>
                <w:b/>
                <w:bCs/>
                <w:color w:val="FFFFFF"/>
                <w:sz w:val="24"/>
                <w:szCs w:val="24"/>
              </w:rPr>
              <w:t>应对措施</w:t>
            </w:r>
          </w:p>
        </w:tc>
        <w:tc>
          <w:tcPr>
            <w:tcW w:w="278" w:type="pct"/>
            <w:tcBorders>
              <w:tl2br w:val="nil"/>
              <w:tr2bl w:val="nil"/>
            </w:tcBorders>
            <w:shd w:val="clear" w:color="auto" w:fill="44546A"/>
            <w:vAlign w:val="center"/>
          </w:tcPr>
          <w:p w14:paraId="55EED912">
            <w:pPr>
              <w:widowControl w:val="0"/>
              <w:snapToGrid/>
              <w:spacing w:line="240" w:lineRule="auto"/>
              <w:ind w:firstLine="0" w:firstLineChars="0"/>
              <w:jc w:val="center"/>
              <w:rPr>
                <w:rFonts w:ascii="宋体" w:hAnsi="宋体" w:eastAsia="宋体" w:cs="宋体"/>
                <w:b/>
                <w:bCs w:val="0"/>
                <w:color w:val="FFFFFF"/>
                <w:sz w:val="24"/>
                <w:szCs w:val="24"/>
              </w:rPr>
            </w:pPr>
            <w:r>
              <w:rPr>
                <w:rFonts w:hint="eastAsia" w:ascii="宋体" w:hAnsi="宋体" w:eastAsia="宋体" w:cs="宋体"/>
                <w:b/>
                <w:bCs/>
                <w:color w:val="FFFFFF"/>
                <w:sz w:val="24"/>
                <w:szCs w:val="24"/>
              </w:rPr>
              <w:t>影响时间</w:t>
            </w:r>
          </w:p>
        </w:tc>
      </w:tr>
      <w:tr w14:paraId="2C946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7" w:hRule="atLeast"/>
          <w:jc w:val="center"/>
        </w:trPr>
        <w:tc>
          <w:tcPr>
            <w:tcW w:w="171" w:type="pct"/>
            <w:vMerge w:val="restart"/>
            <w:tcBorders>
              <w:right w:val="nil"/>
              <w:insideV w:val="nil"/>
              <w:tl2br w:val="nil"/>
              <w:tr2bl w:val="nil"/>
            </w:tcBorders>
            <w:shd w:val="clear" w:color="auto" w:fill="FFFFFF"/>
            <w:vAlign w:val="center"/>
          </w:tcPr>
          <w:p w14:paraId="6838A265">
            <w:pPr>
              <w:widowControl w:val="0"/>
              <w:snapToGrid/>
              <w:spacing w:line="240" w:lineRule="auto"/>
              <w:ind w:firstLine="0" w:firstLineChars="0"/>
              <w:jc w:val="center"/>
              <w:rPr>
                <w:rFonts w:ascii="宋体" w:hAnsi="宋体" w:eastAsia="宋体" w:cs="宋体"/>
                <w:b w:val="0"/>
                <w:bCs w:val="0"/>
                <w:sz w:val="24"/>
                <w:szCs w:val="24"/>
              </w:rPr>
            </w:pPr>
            <w:r>
              <w:rPr>
                <w:rFonts w:hint="eastAsia" w:ascii="宋体" w:hAnsi="宋体" w:eastAsia="宋体" w:cs="宋体"/>
                <w:b w:val="0"/>
                <w:bCs w:val="0"/>
                <w:sz w:val="24"/>
                <w:szCs w:val="24"/>
              </w:rPr>
              <w:t>转型风险</w:t>
            </w:r>
          </w:p>
        </w:tc>
        <w:tc>
          <w:tcPr>
            <w:tcW w:w="243" w:type="pct"/>
            <w:vMerge w:val="restart"/>
            <w:tcBorders>
              <w:tl2br w:val="nil"/>
              <w:tr2bl w:val="nil"/>
            </w:tcBorders>
            <w:vAlign w:val="center"/>
          </w:tcPr>
          <w:p w14:paraId="0765873A">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法规与政策</w:t>
            </w:r>
          </w:p>
        </w:tc>
        <w:tc>
          <w:tcPr>
            <w:tcW w:w="398" w:type="pct"/>
            <w:tcBorders>
              <w:tl2br w:val="nil"/>
              <w:tr2bl w:val="nil"/>
            </w:tcBorders>
            <w:vAlign w:val="center"/>
          </w:tcPr>
          <w:p w14:paraId="31B95EA1">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环保监管趋严，高污染行业受限</w:t>
            </w:r>
          </w:p>
        </w:tc>
        <w:tc>
          <w:tcPr>
            <w:tcW w:w="355" w:type="pct"/>
            <w:tcBorders>
              <w:tl2br w:val="nil"/>
              <w:tr2bl w:val="nil"/>
            </w:tcBorders>
            <w:vAlign w:val="center"/>
          </w:tcPr>
          <w:p w14:paraId="586E8BE6">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信用风险、转型风险</w:t>
            </w:r>
          </w:p>
        </w:tc>
        <w:tc>
          <w:tcPr>
            <w:tcW w:w="406" w:type="pct"/>
            <w:tcBorders>
              <w:tl2br w:val="nil"/>
              <w:tr2bl w:val="nil"/>
            </w:tcBorders>
            <w:vAlign w:val="center"/>
          </w:tcPr>
          <w:p w14:paraId="666966D9">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投融资组合、资产质量、发展战略</w:t>
            </w:r>
          </w:p>
        </w:tc>
        <w:tc>
          <w:tcPr>
            <w:tcW w:w="1576" w:type="pct"/>
            <w:tcBorders>
              <w:tl2br w:val="nil"/>
              <w:tr2bl w:val="nil"/>
            </w:tcBorders>
            <w:vAlign w:val="center"/>
          </w:tcPr>
          <w:p w14:paraId="5C6AF461">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在“双碳”目标及黄河流域生态保护和高质量发展战略推动下，节能降碳、大气污染治理、水资源管理及资源综合利用相关政策持续趋严。本行评估显示，污水处理及其再生利用、危险废物治理和太阳能发电等自然影响较高行业绿色信贷资产占比约为</w:t>
            </w:r>
            <w:r>
              <w:rPr>
                <w:rFonts w:hint="default" w:ascii="Times New Roman" w:hAnsi="Times New Roman" w:eastAsia="宋体" w:cs="Times New Roman"/>
                <w:sz w:val="24"/>
                <w:szCs w:val="24"/>
              </w:rPr>
              <w:t>28.73%</w:t>
            </w:r>
            <w:r>
              <w:rPr>
                <w:rFonts w:hint="eastAsia" w:ascii="宋体" w:hAnsi="宋体" w:eastAsia="宋体" w:cs="宋体"/>
                <w:sz w:val="24"/>
                <w:szCs w:val="24"/>
              </w:rPr>
              <w:t>，存在一定政策敏感性。</w:t>
            </w:r>
          </w:p>
          <w:p w14:paraId="23800092">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污水处理及危险废物治理企业面临环保设施升级、污染物排放标准提高及运营监管趋严等要求，若项目运营不达标或环保投入不足，可能面临整改、停产或处罚风险；太阳能发电行业则受新能源补贴政策、并网消纳及行业竞争变化影响，可能对客户经营稳定性及偿债能力造成影响。</w:t>
            </w:r>
          </w:p>
        </w:tc>
        <w:tc>
          <w:tcPr>
            <w:tcW w:w="1573" w:type="pct"/>
            <w:tcBorders>
              <w:tl2br w:val="nil"/>
              <w:tr2bl w:val="nil"/>
            </w:tcBorders>
            <w:vAlign w:val="center"/>
          </w:tcPr>
          <w:p w14:paraId="7704C20A">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建立环境政策动态监测机制，持续跟踪“双碳”、黄河流域保护及地方生态环保政策变化，及时优化授信政策与行业准入标准。</w:t>
            </w:r>
          </w:p>
          <w:p w14:paraId="1CA9A4BE">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稳妥压降高污染高耗能行业风险敞口，加大对清洁能源、污染治理、循环经济等绿色领域支持力度。</w:t>
            </w:r>
          </w:p>
          <w:p w14:paraId="75CDE1A1">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积极对接绿色转型政策资源，引导客户开展节能减排和绿色技术改造。</w:t>
            </w:r>
          </w:p>
        </w:tc>
        <w:tc>
          <w:tcPr>
            <w:tcW w:w="278" w:type="pct"/>
            <w:tcBorders>
              <w:tl2br w:val="nil"/>
              <w:tr2bl w:val="nil"/>
            </w:tcBorders>
            <w:vAlign w:val="center"/>
          </w:tcPr>
          <w:p w14:paraId="4198E96B">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短中期</w:t>
            </w:r>
          </w:p>
        </w:tc>
      </w:tr>
      <w:tr w14:paraId="5B713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8" w:hRule="atLeast"/>
          <w:jc w:val="center"/>
        </w:trPr>
        <w:tc>
          <w:tcPr>
            <w:tcW w:w="171" w:type="pct"/>
            <w:vMerge w:val="continue"/>
            <w:tcBorders>
              <w:right w:val="nil"/>
              <w:insideV w:val="nil"/>
              <w:tl2br w:val="nil"/>
              <w:tr2bl w:val="nil"/>
            </w:tcBorders>
            <w:shd w:val="clear" w:color="auto" w:fill="FFFFFF"/>
            <w:vAlign w:val="center"/>
          </w:tcPr>
          <w:p w14:paraId="1532730A">
            <w:pPr>
              <w:widowControl w:val="0"/>
              <w:snapToGrid/>
              <w:spacing w:line="240" w:lineRule="auto"/>
              <w:ind w:firstLine="0" w:firstLineChars="0"/>
              <w:jc w:val="center"/>
              <w:rPr>
                <w:rFonts w:ascii="宋体" w:hAnsi="宋体" w:eastAsia="宋体" w:cs="宋体"/>
                <w:b w:val="0"/>
                <w:bCs w:val="0"/>
                <w:sz w:val="24"/>
                <w:szCs w:val="24"/>
              </w:rPr>
            </w:pPr>
          </w:p>
        </w:tc>
        <w:tc>
          <w:tcPr>
            <w:tcW w:w="243" w:type="pct"/>
            <w:vMerge w:val="continue"/>
            <w:tcBorders>
              <w:tl2br w:val="nil"/>
              <w:tr2bl w:val="nil"/>
            </w:tcBorders>
            <w:vAlign w:val="center"/>
          </w:tcPr>
          <w:p w14:paraId="64166D7D">
            <w:pPr>
              <w:widowControl w:val="0"/>
              <w:snapToGrid/>
              <w:spacing w:line="240" w:lineRule="auto"/>
              <w:ind w:firstLine="0" w:firstLineChars="0"/>
              <w:jc w:val="left"/>
              <w:rPr>
                <w:rFonts w:ascii="宋体" w:hAnsi="宋体" w:eastAsia="宋体" w:cs="宋体"/>
                <w:sz w:val="24"/>
                <w:szCs w:val="24"/>
              </w:rPr>
            </w:pPr>
          </w:p>
        </w:tc>
        <w:tc>
          <w:tcPr>
            <w:tcW w:w="398" w:type="pct"/>
            <w:tcBorders>
              <w:tl2br w:val="nil"/>
              <w:tr2bl w:val="nil"/>
            </w:tcBorders>
            <w:vAlign w:val="center"/>
          </w:tcPr>
          <w:p w14:paraId="0DA404E1">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绿色金融监管要求提升</w:t>
            </w:r>
          </w:p>
        </w:tc>
        <w:tc>
          <w:tcPr>
            <w:tcW w:w="355" w:type="pct"/>
            <w:tcBorders>
              <w:tl2br w:val="nil"/>
              <w:tr2bl w:val="nil"/>
            </w:tcBorders>
            <w:vAlign w:val="center"/>
          </w:tcPr>
          <w:p w14:paraId="11D77C90">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合规风险、操作风险</w:t>
            </w:r>
          </w:p>
        </w:tc>
        <w:tc>
          <w:tcPr>
            <w:tcW w:w="406" w:type="pct"/>
            <w:tcBorders>
              <w:tl2br w:val="nil"/>
              <w:tr2bl w:val="nil"/>
            </w:tcBorders>
            <w:vAlign w:val="center"/>
          </w:tcPr>
          <w:p w14:paraId="34697CFE">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发展战略、风险管理体系、投融资结构</w:t>
            </w:r>
          </w:p>
        </w:tc>
        <w:tc>
          <w:tcPr>
            <w:tcW w:w="1576" w:type="pct"/>
            <w:tcBorders>
              <w:tl2br w:val="nil"/>
              <w:tr2bl w:val="nil"/>
            </w:tcBorders>
            <w:vAlign w:val="center"/>
          </w:tcPr>
          <w:p w14:paraId="3C75070E">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监管机构对绿色信贷识别、环境信息披露及环境风险管理要求持续提高，乌海银行面临绿色资产统计、环境数据治理及披露规范化要求提升带来的管理压力。</w:t>
            </w:r>
          </w:p>
          <w:p w14:paraId="3663993D">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若绿色贷款分类、标识或信息披露不符合监管标准，可能引发监管问询、整改甚至声誉影响。</w:t>
            </w:r>
          </w:p>
        </w:tc>
        <w:tc>
          <w:tcPr>
            <w:tcW w:w="1573" w:type="pct"/>
            <w:tcBorders>
              <w:tl2br w:val="nil"/>
              <w:tr2bl w:val="nil"/>
            </w:tcBorders>
            <w:vAlign w:val="center"/>
          </w:tcPr>
          <w:p w14:paraId="70195940">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加强监管沟通与内部管理机制建设，完善绿色信贷考核与环境信息披露体系，夯实数据基础，降低合规风险并提升管理透明度。</w:t>
            </w:r>
          </w:p>
        </w:tc>
        <w:tc>
          <w:tcPr>
            <w:tcW w:w="278" w:type="pct"/>
            <w:tcBorders>
              <w:tl2br w:val="nil"/>
              <w:tr2bl w:val="nil"/>
            </w:tcBorders>
            <w:vAlign w:val="center"/>
          </w:tcPr>
          <w:p w14:paraId="2D21B0EB">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短中期</w:t>
            </w:r>
          </w:p>
        </w:tc>
      </w:tr>
      <w:tr w14:paraId="30ECC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jc w:val="center"/>
        </w:trPr>
        <w:tc>
          <w:tcPr>
            <w:tcW w:w="171" w:type="pct"/>
            <w:vMerge w:val="continue"/>
            <w:tcBorders>
              <w:right w:val="nil"/>
              <w:insideV w:val="nil"/>
              <w:tl2br w:val="nil"/>
              <w:tr2bl w:val="nil"/>
            </w:tcBorders>
            <w:shd w:val="clear" w:color="auto" w:fill="FFFFFF"/>
            <w:vAlign w:val="center"/>
          </w:tcPr>
          <w:p w14:paraId="258DB5F1">
            <w:pPr>
              <w:widowControl w:val="0"/>
              <w:snapToGrid/>
              <w:spacing w:line="240" w:lineRule="auto"/>
              <w:ind w:firstLine="0" w:firstLineChars="0"/>
              <w:jc w:val="center"/>
              <w:rPr>
                <w:rFonts w:ascii="宋体" w:hAnsi="宋体" w:eastAsia="宋体" w:cs="宋体"/>
                <w:b w:val="0"/>
                <w:bCs w:val="0"/>
                <w:sz w:val="24"/>
                <w:szCs w:val="24"/>
              </w:rPr>
            </w:pPr>
          </w:p>
        </w:tc>
        <w:tc>
          <w:tcPr>
            <w:tcW w:w="243" w:type="pct"/>
            <w:vMerge w:val="continue"/>
            <w:tcBorders>
              <w:tl2br w:val="nil"/>
              <w:tr2bl w:val="nil"/>
            </w:tcBorders>
            <w:vAlign w:val="center"/>
          </w:tcPr>
          <w:p w14:paraId="1CF97F8D">
            <w:pPr>
              <w:widowControl w:val="0"/>
              <w:snapToGrid/>
              <w:spacing w:line="240" w:lineRule="auto"/>
              <w:ind w:firstLine="0" w:firstLineChars="0"/>
              <w:jc w:val="left"/>
              <w:rPr>
                <w:rFonts w:ascii="宋体" w:hAnsi="宋体" w:eastAsia="宋体" w:cs="宋体"/>
                <w:sz w:val="24"/>
                <w:szCs w:val="24"/>
              </w:rPr>
            </w:pPr>
          </w:p>
        </w:tc>
        <w:tc>
          <w:tcPr>
            <w:tcW w:w="398" w:type="pct"/>
            <w:tcBorders>
              <w:tl2br w:val="nil"/>
              <w:tr2bl w:val="nil"/>
            </w:tcBorders>
            <w:vAlign w:val="center"/>
          </w:tcPr>
          <w:p w14:paraId="57B00B8B">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生态红线及资源环境约束强化</w:t>
            </w:r>
          </w:p>
        </w:tc>
        <w:tc>
          <w:tcPr>
            <w:tcW w:w="355" w:type="pct"/>
            <w:tcBorders>
              <w:tl2br w:val="nil"/>
              <w:tr2bl w:val="nil"/>
            </w:tcBorders>
            <w:vAlign w:val="center"/>
          </w:tcPr>
          <w:p w14:paraId="35D0A88F">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信用风险、合规风险</w:t>
            </w:r>
          </w:p>
        </w:tc>
        <w:tc>
          <w:tcPr>
            <w:tcW w:w="406" w:type="pct"/>
            <w:tcBorders>
              <w:tl2br w:val="nil"/>
              <w:tr2bl w:val="nil"/>
            </w:tcBorders>
            <w:vAlign w:val="center"/>
          </w:tcPr>
          <w:p w14:paraId="059AE379">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投融资组合、资产质量、客户关系</w:t>
            </w:r>
          </w:p>
        </w:tc>
        <w:tc>
          <w:tcPr>
            <w:tcW w:w="1576" w:type="pct"/>
            <w:tcBorders>
              <w:tl2br w:val="nil"/>
              <w:tr2bl w:val="nil"/>
            </w:tcBorders>
            <w:vAlign w:val="center"/>
          </w:tcPr>
          <w:p w14:paraId="4A84CE8E">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乌海地区水资源紧缺，受黄河取水指标、地下水管控及生态保护红线影响，部分高耗水企业面临用水指标压缩和扩产限制。</w:t>
            </w:r>
          </w:p>
          <w:p w14:paraId="2ABCC182">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土地用途管制、矿山修复及生态补偿机制推进，可能提高客户运营成本，压缩利润空间，影响持续经营与偿债能力。</w:t>
            </w:r>
          </w:p>
        </w:tc>
        <w:tc>
          <w:tcPr>
            <w:tcW w:w="1573" w:type="pct"/>
            <w:tcBorders>
              <w:tl2br w:val="nil"/>
              <w:tr2bl w:val="nil"/>
            </w:tcBorders>
            <w:vAlign w:val="center"/>
          </w:tcPr>
          <w:p w14:paraId="7DB69143">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将水资源使用效率、排污许可及生态合规情况纳入授信审查重点。</w:t>
            </w:r>
          </w:p>
          <w:p w14:paraId="5654858E">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加强贷后环境监测，重点关注高耗水、高生态影响客户经营变化。</w:t>
            </w:r>
          </w:p>
        </w:tc>
        <w:tc>
          <w:tcPr>
            <w:tcW w:w="278" w:type="pct"/>
            <w:tcBorders>
              <w:tl2br w:val="nil"/>
              <w:tr2bl w:val="nil"/>
            </w:tcBorders>
            <w:vAlign w:val="center"/>
          </w:tcPr>
          <w:p w14:paraId="32B0A8B8">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中长期</w:t>
            </w:r>
          </w:p>
        </w:tc>
      </w:tr>
      <w:tr w14:paraId="5179B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71" w:type="pct"/>
            <w:vMerge w:val="continue"/>
            <w:tcBorders>
              <w:right w:val="nil"/>
              <w:insideV w:val="nil"/>
              <w:tl2br w:val="nil"/>
              <w:tr2bl w:val="nil"/>
            </w:tcBorders>
            <w:shd w:val="clear" w:color="auto" w:fill="FFFFFF"/>
            <w:vAlign w:val="center"/>
          </w:tcPr>
          <w:p w14:paraId="571E0E7A">
            <w:pPr>
              <w:widowControl w:val="0"/>
              <w:snapToGrid/>
              <w:spacing w:line="240" w:lineRule="auto"/>
              <w:ind w:firstLine="422" w:firstLineChars="0"/>
              <w:jc w:val="center"/>
              <w:rPr>
                <w:rFonts w:ascii="宋体" w:hAnsi="宋体" w:eastAsia="宋体" w:cs="宋体"/>
                <w:b/>
                <w:bCs/>
                <w:sz w:val="24"/>
                <w:szCs w:val="24"/>
              </w:rPr>
            </w:pPr>
          </w:p>
        </w:tc>
        <w:tc>
          <w:tcPr>
            <w:tcW w:w="243" w:type="pct"/>
            <w:tcBorders>
              <w:tl2br w:val="nil"/>
              <w:tr2bl w:val="nil"/>
            </w:tcBorders>
            <w:vAlign w:val="center"/>
          </w:tcPr>
          <w:p w14:paraId="4CEE428E">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技术</w:t>
            </w:r>
          </w:p>
        </w:tc>
        <w:tc>
          <w:tcPr>
            <w:tcW w:w="398" w:type="pct"/>
            <w:tcBorders>
              <w:tl2br w:val="nil"/>
              <w:tr2bl w:val="nil"/>
            </w:tcBorders>
            <w:vAlign w:val="center"/>
          </w:tcPr>
          <w:p w14:paraId="544E526E">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绿色技术迭代与升级压力</w:t>
            </w:r>
          </w:p>
        </w:tc>
        <w:tc>
          <w:tcPr>
            <w:tcW w:w="355" w:type="pct"/>
            <w:tcBorders>
              <w:tl2br w:val="nil"/>
              <w:tr2bl w:val="nil"/>
            </w:tcBorders>
            <w:vAlign w:val="center"/>
          </w:tcPr>
          <w:p w14:paraId="6BBDEF70">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信用风险、市场风险、操作风险</w:t>
            </w:r>
          </w:p>
        </w:tc>
        <w:tc>
          <w:tcPr>
            <w:tcW w:w="406" w:type="pct"/>
            <w:tcBorders>
              <w:tl2br w:val="nil"/>
              <w:tr2bl w:val="nil"/>
            </w:tcBorders>
            <w:vAlign w:val="center"/>
          </w:tcPr>
          <w:p w14:paraId="59EC0CFD">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投融资组合</w:t>
            </w:r>
          </w:p>
        </w:tc>
        <w:tc>
          <w:tcPr>
            <w:tcW w:w="1576" w:type="pct"/>
            <w:tcBorders>
              <w:tl2br w:val="nil"/>
              <w:tr2bl w:val="nil"/>
            </w:tcBorders>
            <w:vAlign w:val="center"/>
          </w:tcPr>
          <w:p w14:paraId="18CAEC92">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本行自然高依赖行业（污水处理及其再生利用、住宅房屋建筑和太阳能发电等）领域绿色信贷资产占比约</w:t>
            </w:r>
            <w:r>
              <w:rPr>
                <w:rFonts w:hint="default" w:ascii="Times New Roman" w:hAnsi="Times New Roman" w:eastAsia="宋体" w:cs="Times New Roman"/>
                <w:sz w:val="24"/>
                <w:szCs w:val="24"/>
              </w:rPr>
              <w:t>27.64</w:t>
            </w:r>
            <w:r>
              <w:rPr>
                <w:rFonts w:hint="default" w:ascii="Times New Roman" w:hAnsi="Times New Roman" w:eastAsia="宋体" w:cs="Times New Roman"/>
                <w:sz w:val="24"/>
                <w:szCs w:val="24"/>
              </w:rPr>
              <w:t>%</w:t>
            </w:r>
            <w:r>
              <w:rPr>
                <w:rFonts w:hint="eastAsia" w:ascii="宋体" w:hAnsi="宋体" w:eastAsia="宋体" w:cs="宋体"/>
                <w:sz w:val="24"/>
                <w:szCs w:val="24"/>
              </w:rPr>
              <w:t>，上述行业对水资源、土地资源、气候条件及生态环境具有较高依赖性，绿色技术升级与低碳转型需求较为突出。</w:t>
            </w:r>
          </w:p>
          <w:p w14:paraId="74F44F2A">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污水处理及再生利用行业需持续提升节水循环利用、污泥处置及智能化运营水平；住宅房屋建筑行业面临绿色建筑、节能降耗及低碳建材应用要求；太阳能发电行业则面临发电效率提升、储能配套及设备更新等技术迭代压力。</w:t>
            </w:r>
          </w:p>
          <w:p w14:paraId="095064AE">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若客户技术升级周期较长或资金投入不足，可能导致短期经营现金流承压，增加贷款违约风险；同时，技术快速迭代亦可能导致部分已融资项目设备落后、收益下降，影响资产质量。</w:t>
            </w:r>
          </w:p>
        </w:tc>
        <w:tc>
          <w:tcPr>
            <w:tcW w:w="1573" w:type="pct"/>
            <w:tcBorders>
              <w:tl2br w:val="nil"/>
              <w:tr2bl w:val="nil"/>
            </w:tcBorders>
            <w:vAlign w:val="center"/>
          </w:tcPr>
          <w:p w14:paraId="5FEB3D51">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开展转型贷款，设立技术改造专项额度，匹配中长期资金需求，合理延长贷款期限并设置宽限期。</w:t>
            </w:r>
          </w:p>
          <w:p w14:paraId="4747899D">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支持循环利用、绿色建造、清洁能源等领域技术升级，培育具备转型能力的优质客户。</w:t>
            </w:r>
          </w:p>
          <w:p w14:paraId="2FF58F9E">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提升碳排放与减排数据管理能力建设，为风险评估与决策提供支撑。</w:t>
            </w:r>
          </w:p>
          <w:p w14:paraId="1E296D67">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推动环境数据体系建设，引入第三方评估工具，提升绿色项目识别与环境效益测算能力。</w:t>
            </w:r>
          </w:p>
          <w:p w14:paraId="1483A1DC">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加强复合型专业人才培养，提升对高自然依赖行业的技术趋势研判与风险评估能力。</w:t>
            </w:r>
          </w:p>
        </w:tc>
        <w:tc>
          <w:tcPr>
            <w:tcW w:w="278" w:type="pct"/>
            <w:tcBorders>
              <w:tl2br w:val="nil"/>
              <w:tr2bl w:val="nil"/>
            </w:tcBorders>
            <w:vAlign w:val="center"/>
          </w:tcPr>
          <w:p w14:paraId="76D5C6B9">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中长期</w:t>
            </w:r>
          </w:p>
        </w:tc>
      </w:tr>
      <w:tr w14:paraId="477C0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71" w:type="pct"/>
            <w:vMerge w:val="continue"/>
            <w:tcBorders>
              <w:right w:val="nil"/>
              <w:insideV w:val="nil"/>
              <w:tl2br w:val="nil"/>
              <w:tr2bl w:val="nil"/>
            </w:tcBorders>
            <w:shd w:val="clear" w:color="auto" w:fill="FFFFFF"/>
            <w:vAlign w:val="center"/>
          </w:tcPr>
          <w:p w14:paraId="4A030836">
            <w:pPr>
              <w:widowControl w:val="0"/>
              <w:snapToGrid/>
              <w:spacing w:line="240" w:lineRule="auto"/>
              <w:ind w:firstLine="422" w:firstLineChars="0"/>
              <w:jc w:val="center"/>
              <w:rPr>
                <w:rFonts w:ascii="宋体" w:hAnsi="宋体" w:eastAsia="宋体" w:cs="宋体"/>
                <w:b/>
                <w:bCs/>
                <w:sz w:val="24"/>
                <w:szCs w:val="24"/>
              </w:rPr>
            </w:pPr>
          </w:p>
        </w:tc>
        <w:tc>
          <w:tcPr>
            <w:tcW w:w="243" w:type="pct"/>
            <w:tcBorders>
              <w:tl2br w:val="nil"/>
              <w:tr2bl w:val="nil"/>
            </w:tcBorders>
            <w:vAlign w:val="center"/>
          </w:tcPr>
          <w:p w14:paraId="09BF1EA0">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声誉</w:t>
            </w:r>
          </w:p>
        </w:tc>
        <w:tc>
          <w:tcPr>
            <w:tcW w:w="398" w:type="pct"/>
            <w:tcBorders>
              <w:tl2br w:val="nil"/>
              <w:tr2bl w:val="nil"/>
            </w:tcBorders>
            <w:vAlign w:val="center"/>
          </w:tcPr>
          <w:p w14:paraId="28A8B9BB">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环境相关负面舆情风险</w:t>
            </w:r>
          </w:p>
        </w:tc>
        <w:tc>
          <w:tcPr>
            <w:tcW w:w="355" w:type="pct"/>
            <w:tcBorders>
              <w:tl2br w:val="nil"/>
              <w:tr2bl w:val="nil"/>
            </w:tcBorders>
            <w:vAlign w:val="center"/>
          </w:tcPr>
          <w:p w14:paraId="7F0CC6DC">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信用风险</w:t>
            </w:r>
          </w:p>
        </w:tc>
        <w:tc>
          <w:tcPr>
            <w:tcW w:w="406" w:type="pct"/>
            <w:tcBorders>
              <w:tl2br w:val="nil"/>
              <w:tr2bl w:val="nil"/>
            </w:tcBorders>
            <w:vAlign w:val="center"/>
          </w:tcPr>
          <w:p w14:paraId="3B2C2568">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品牌形象、客户关系</w:t>
            </w:r>
          </w:p>
        </w:tc>
        <w:tc>
          <w:tcPr>
            <w:tcW w:w="1576" w:type="pct"/>
            <w:tcBorders>
              <w:tl2br w:val="nil"/>
              <w:tr2bl w:val="nil"/>
            </w:tcBorders>
            <w:vAlign w:val="center"/>
          </w:tcPr>
          <w:p w14:paraId="03AE53BD">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社会公众及监管对银行绿色发展责任关注持续增强，若绿色金融支持力度不足或环境风险管理不到位，可能影响品牌形象。</w:t>
            </w:r>
          </w:p>
          <w:p w14:paraId="52DD0E6F">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若贷款客户发生大气污染超标、非法排污或生态破坏事件，可能通过关联关系传导至银行，引发声誉风险。</w:t>
            </w:r>
          </w:p>
        </w:tc>
        <w:tc>
          <w:tcPr>
            <w:tcW w:w="1573" w:type="pct"/>
            <w:tcBorders>
              <w:tl2br w:val="nil"/>
              <w:tr2bl w:val="nil"/>
            </w:tcBorders>
            <w:vAlign w:val="center"/>
          </w:tcPr>
          <w:p w14:paraId="0F4F95BD">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强化环境尽职调查和贷后环境风险监测。</w:t>
            </w:r>
          </w:p>
          <w:p w14:paraId="213FE9DC">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完善环境信息披露机制，主动披露绿色金融进展与风险管理情况。</w:t>
            </w:r>
          </w:p>
          <w:p w14:paraId="3DB36FD9">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加强绿色品牌建设与利益相关方沟通。</w:t>
            </w:r>
          </w:p>
        </w:tc>
        <w:tc>
          <w:tcPr>
            <w:tcW w:w="278" w:type="pct"/>
            <w:tcBorders>
              <w:tl2br w:val="nil"/>
              <w:tr2bl w:val="nil"/>
            </w:tcBorders>
            <w:vAlign w:val="center"/>
          </w:tcPr>
          <w:p w14:paraId="07765E23">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短中期</w:t>
            </w:r>
          </w:p>
        </w:tc>
      </w:tr>
      <w:tr w14:paraId="6C11E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71" w:type="pct"/>
            <w:vMerge w:val="continue"/>
            <w:tcBorders>
              <w:right w:val="nil"/>
              <w:insideV w:val="nil"/>
              <w:tl2br w:val="nil"/>
              <w:tr2bl w:val="nil"/>
            </w:tcBorders>
            <w:shd w:val="clear" w:color="auto" w:fill="FFFFFF"/>
            <w:vAlign w:val="center"/>
          </w:tcPr>
          <w:p w14:paraId="4CDAA8C7">
            <w:pPr>
              <w:widowControl w:val="0"/>
              <w:snapToGrid/>
              <w:spacing w:line="240" w:lineRule="auto"/>
              <w:ind w:firstLine="0" w:firstLineChars="0"/>
              <w:jc w:val="center"/>
              <w:rPr>
                <w:rFonts w:ascii="宋体" w:hAnsi="宋体" w:eastAsia="宋体" w:cs="宋体"/>
                <w:b/>
                <w:bCs/>
                <w:sz w:val="24"/>
                <w:szCs w:val="24"/>
              </w:rPr>
            </w:pPr>
          </w:p>
        </w:tc>
        <w:tc>
          <w:tcPr>
            <w:tcW w:w="243" w:type="pct"/>
            <w:tcBorders>
              <w:tl2br w:val="nil"/>
              <w:tr2bl w:val="nil"/>
            </w:tcBorders>
            <w:vAlign w:val="center"/>
          </w:tcPr>
          <w:p w14:paraId="72409D3F">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市场</w:t>
            </w:r>
          </w:p>
        </w:tc>
        <w:tc>
          <w:tcPr>
            <w:tcW w:w="398" w:type="pct"/>
            <w:tcBorders>
              <w:tl2br w:val="nil"/>
              <w:tr2bl w:val="nil"/>
            </w:tcBorders>
            <w:vAlign w:val="center"/>
          </w:tcPr>
          <w:p w14:paraId="4A4277CD">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市场偏好变化与行业结构调整</w:t>
            </w:r>
          </w:p>
        </w:tc>
        <w:tc>
          <w:tcPr>
            <w:tcW w:w="355" w:type="pct"/>
            <w:tcBorders>
              <w:tl2br w:val="nil"/>
              <w:tr2bl w:val="nil"/>
            </w:tcBorders>
            <w:vAlign w:val="center"/>
          </w:tcPr>
          <w:p w14:paraId="377E317A">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信用风险、市场风险</w:t>
            </w:r>
          </w:p>
        </w:tc>
        <w:tc>
          <w:tcPr>
            <w:tcW w:w="406" w:type="pct"/>
            <w:tcBorders>
              <w:tl2br w:val="nil"/>
              <w:tr2bl w:val="nil"/>
            </w:tcBorders>
            <w:vAlign w:val="center"/>
          </w:tcPr>
          <w:p w14:paraId="0EF82434">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投融资组合</w:t>
            </w:r>
          </w:p>
        </w:tc>
        <w:tc>
          <w:tcPr>
            <w:tcW w:w="1576" w:type="pct"/>
            <w:tcBorders>
              <w:tl2br w:val="nil"/>
              <w:tr2bl w:val="nil"/>
            </w:tcBorders>
            <w:vAlign w:val="center"/>
          </w:tcPr>
          <w:p w14:paraId="1823F7F1">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随着绿色低碳发展理念深化，市场资金持续向清洁能源、资源循环利用及绿色建筑等领域集中，我行涉及的太阳能发电、污水处理及绿色建筑相关行业迎来一定发展机遇，但同时也面临行业竞争加剧、投资周期长及收益波动等挑战。</w:t>
            </w:r>
          </w:p>
          <w:p w14:paraId="253F160F">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若相关企业在绿色技术、运营效率或环境绩效方面竞争力不足，可能面临市场份额下降及盈利能力减弱风险，进而影响偿债能力。</w:t>
            </w:r>
          </w:p>
          <w:p w14:paraId="659CD633">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绿色产业普遍具有前期投入高、回收周期长等特点，部分中小客户抗风险能力相对有限，可能增加信贷组合波动性。</w:t>
            </w:r>
          </w:p>
          <w:p w14:paraId="592E5797">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同业绿色金融产品与服务持续创新，若产品体系滞后，可能削弱市场竞争力与客户吸引力。</w:t>
            </w:r>
          </w:p>
        </w:tc>
        <w:tc>
          <w:tcPr>
            <w:tcW w:w="1573" w:type="pct"/>
            <w:tcBorders>
              <w:tl2br w:val="nil"/>
              <w:tr2bl w:val="nil"/>
            </w:tcBorders>
            <w:vAlign w:val="center"/>
          </w:tcPr>
          <w:p w14:paraId="612C7EF0">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优化信贷结构，提高绿色贷款占比。</w:t>
            </w:r>
          </w:p>
          <w:p w14:paraId="17DE5C00">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丰富绿色金融产品体系，提升对绿色小微企业和绿色项目的服务能力。</w:t>
            </w:r>
          </w:p>
          <w:p w14:paraId="351C0512">
            <w:pPr>
              <w:widowControl w:val="0"/>
              <w:numPr>
                <w:ilvl w:val="0"/>
                <w:numId w:val="6"/>
              </w:numPr>
              <w:snapToGrid/>
              <w:spacing w:line="240" w:lineRule="auto"/>
              <w:ind w:firstLineChars="0"/>
              <w:rPr>
                <w:rFonts w:ascii="宋体" w:hAnsi="宋体" w:eastAsia="宋体" w:cs="宋体"/>
                <w:sz w:val="24"/>
                <w:szCs w:val="24"/>
              </w:rPr>
            </w:pPr>
            <w:r>
              <w:rPr>
                <w:rFonts w:hint="eastAsia" w:ascii="宋体" w:hAnsi="宋体" w:eastAsia="宋体" w:cs="宋体"/>
                <w:sz w:val="24"/>
                <w:szCs w:val="24"/>
              </w:rPr>
              <w:t>加强行业趋势研判，培育绿色转型客户群。</w:t>
            </w:r>
          </w:p>
        </w:tc>
        <w:tc>
          <w:tcPr>
            <w:tcW w:w="278" w:type="pct"/>
            <w:tcBorders>
              <w:tl2br w:val="nil"/>
              <w:tr2bl w:val="nil"/>
            </w:tcBorders>
            <w:vAlign w:val="center"/>
          </w:tcPr>
          <w:p w14:paraId="6FC337A2">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中长期</w:t>
            </w:r>
          </w:p>
        </w:tc>
      </w:tr>
      <w:tr w14:paraId="13524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71" w:type="pct"/>
            <w:vMerge w:val="restart"/>
            <w:tcBorders>
              <w:right w:val="nil"/>
              <w:insideV w:val="nil"/>
              <w:tl2br w:val="nil"/>
              <w:tr2bl w:val="nil"/>
            </w:tcBorders>
            <w:shd w:val="clear" w:color="auto" w:fill="FFFFFF"/>
            <w:vAlign w:val="center"/>
          </w:tcPr>
          <w:p w14:paraId="0F6EBDC8">
            <w:pPr>
              <w:widowControl w:val="0"/>
              <w:snapToGrid/>
              <w:spacing w:line="240" w:lineRule="auto"/>
              <w:ind w:firstLine="0" w:firstLineChars="0"/>
              <w:jc w:val="center"/>
              <w:rPr>
                <w:rFonts w:ascii="宋体" w:hAnsi="宋体" w:eastAsia="宋体" w:cs="宋体"/>
                <w:b w:val="0"/>
                <w:bCs w:val="0"/>
                <w:sz w:val="24"/>
                <w:szCs w:val="24"/>
              </w:rPr>
            </w:pPr>
            <w:r>
              <w:rPr>
                <w:rFonts w:hint="eastAsia" w:ascii="宋体" w:hAnsi="宋体" w:eastAsia="宋体" w:cs="宋体"/>
                <w:b w:val="0"/>
                <w:bCs w:val="0"/>
                <w:sz w:val="24"/>
                <w:szCs w:val="24"/>
              </w:rPr>
              <w:t>物理风险</w:t>
            </w:r>
          </w:p>
        </w:tc>
        <w:tc>
          <w:tcPr>
            <w:tcW w:w="243" w:type="pct"/>
            <w:tcBorders>
              <w:tl2br w:val="nil"/>
              <w:tr2bl w:val="nil"/>
            </w:tcBorders>
            <w:vAlign w:val="center"/>
          </w:tcPr>
          <w:p w14:paraId="20AFE591">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急性</w:t>
            </w:r>
          </w:p>
        </w:tc>
        <w:tc>
          <w:tcPr>
            <w:tcW w:w="398" w:type="pct"/>
            <w:tcBorders>
              <w:tl2br w:val="nil"/>
              <w:tr2bl w:val="nil"/>
            </w:tcBorders>
            <w:vAlign w:val="center"/>
          </w:tcPr>
          <w:p w14:paraId="45B0883D">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极端天气事件（洪涝、干旱、高温等）带来的突发冲击</w:t>
            </w:r>
          </w:p>
        </w:tc>
        <w:tc>
          <w:tcPr>
            <w:tcW w:w="355" w:type="pct"/>
            <w:tcBorders>
              <w:tl2br w:val="nil"/>
              <w:tr2bl w:val="nil"/>
            </w:tcBorders>
            <w:vAlign w:val="center"/>
          </w:tcPr>
          <w:p w14:paraId="5EDE9FDC">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信用风险、操作风险</w:t>
            </w:r>
          </w:p>
        </w:tc>
        <w:tc>
          <w:tcPr>
            <w:tcW w:w="406" w:type="pct"/>
            <w:tcBorders>
              <w:tl2br w:val="nil"/>
              <w:tr2bl w:val="nil"/>
            </w:tcBorders>
            <w:vAlign w:val="center"/>
          </w:tcPr>
          <w:p w14:paraId="0C1F020E">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资产抵押物、运营连续性、资产质量</w:t>
            </w:r>
          </w:p>
        </w:tc>
        <w:tc>
          <w:tcPr>
            <w:tcW w:w="1576" w:type="pct"/>
            <w:tcBorders>
              <w:tl2br w:val="nil"/>
              <w:tr2bl w:val="nil"/>
            </w:tcBorders>
            <w:vAlign w:val="center"/>
          </w:tcPr>
          <w:p w14:paraId="506D117C">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乌海地区易受持续高温、干旱、沙尘天气及局地强降雨影响，可能导致农业减产、企业停工停产及物流受阻，影响客户经营收入。</w:t>
            </w:r>
          </w:p>
          <w:p w14:paraId="0E8C231E">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极端天气可能引发电力中断、通信故障，影响营业网点正常运行和信息系统稳定。</w:t>
            </w:r>
          </w:p>
          <w:p w14:paraId="1B6F183B">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暴雨内涝或地质灾害可能造成房产、设备等抵押物损毁贬值。</w:t>
            </w:r>
          </w:p>
          <w:p w14:paraId="54D04201">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极端天气可能引发停电、通信中断，影响网点运营连续性及数据系统安全。</w:t>
            </w:r>
          </w:p>
          <w:p w14:paraId="648FA2FA">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地质灾害及强降雨等事件可能导致房屋等抵押资产受损贬值，叠加客户收入下降，可能导致个人贷款违约风险上升。</w:t>
            </w:r>
          </w:p>
        </w:tc>
        <w:tc>
          <w:tcPr>
            <w:tcW w:w="1573" w:type="pct"/>
            <w:tcBorders>
              <w:tl2br w:val="nil"/>
              <w:tr2bl w:val="nil"/>
            </w:tcBorders>
            <w:vAlign w:val="center"/>
          </w:tcPr>
          <w:p w14:paraId="31497759">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加强与气象、应急部门联动，完善极端天气预警与应急响应机制。</w:t>
            </w:r>
          </w:p>
          <w:p w14:paraId="16754D6C">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坚持“预防为主”，加强营业场所及信息系统在灾前、灾中及灾后的检查与维护，确保各网点安全运行与业务连续性。</w:t>
            </w:r>
          </w:p>
          <w:p w14:paraId="4656D619">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推广保险配置作为授信前置条件，鼓励客户配置财产险等风险转移工具。</w:t>
            </w:r>
          </w:p>
          <w:p w14:paraId="2825A09C">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强化灾害易发区域项目准入管理，重点评估防洪排水、抗灾能力及供应链稳定性，提升项目韧性。</w:t>
            </w:r>
          </w:p>
          <w:p w14:paraId="4985A3A7">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为受灾客户提供续贷、展期及灾后重建融资支持。</w:t>
            </w:r>
          </w:p>
          <w:p w14:paraId="6D0555A0">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将气候风险评估纳入信贷审批流程，引导客户制定灾害应急预案，提升整体风险抵御能力。</w:t>
            </w:r>
          </w:p>
        </w:tc>
        <w:tc>
          <w:tcPr>
            <w:tcW w:w="278" w:type="pct"/>
            <w:tcBorders>
              <w:tl2br w:val="nil"/>
              <w:tr2bl w:val="nil"/>
            </w:tcBorders>
            <w:vAlign w:val="center"/>
          </w:tcPr>
          <w:p w14:paraId="54ABF2A8">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短期</w:t>
            </w:r>
          </w:p>
        </w:tc>
      </w:tr>
      <w:tr w14:paraId="1D09E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71" w:type="pct"/>
            <w:vMerge w:val="continue"/>
            <w:tcBorders>
              <w:right w:val="nil"/>
              <w:insideV w:val="nil"/>
              <w:tl2br w:val="nil"/>
              <w:tr2bl w:val="nil"/>
            </w:tcBorders>
            <w:shd w:val="clear" w:color="auto" w:fill="FFFFFF"/>
            <w:vAlign w:val="center"/>
          </w:tcPr>
          <w:p w14:paraId="15CDE0BB">
            <w:pPr>
              <w:widowControl w:val="0"/>
              <w:snapToGrid/>
              <w:spacing w:line="240" w:lineRule="auto"/>
              <w:ind w:firstLine="0" w:firstLineChars="0"/>
              <w:jc w:val="center"/>
              <w:rPr>
                <w:rFonts w:ascii="宋体" w:hAnsi="宋体" w:eastAsia="宋体" w:cs="宋体"/>
                <w:b w:val="0"/>
                <w:bCs w:val="0"/>
                <w:sz w:val="24"/>
                <w:szCs w:val="24"/>
              </w:rPr>
            </w:pPr>
          </w:p>
        </w:tc>
        <w:tc>
          <w:tcPr>
            <w:tcW w:w="243" w:type="pct"/>
            <w:tcBorders>
              <w:tl2br w:val="nil"/>
              <w:tr2bl w:val="nil"/>
            </w:tcBorders>
            <w:vAlign w:val="center"/>
          </w:tcPr>
          <w:p w14:paraId="35FB135E">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慢性</w:t>
            </w:r>
          </w:p>
        </w:tc>
        <w:tc>
          <w:tcPr>
            <w:tcW w:w="398" w:type="pct"/>
            <w:tcBorders>
              <w:tl2br w:val="nil"/>
              <w:tr2bl w:val="nil"/>
            </w:tcBorders>
            <w:vAlign w:val="center"/>
          </w:tcPr>
          <w:p w14:paraId="2E3BEA27">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长期气候变化造成的水资源短缺、生态退化</w:t>
            </w:r>
          </w:p>
        </w:tc>
        <w:tc>
          <w:tcPr>
            <w:tcW w:w="355" w:type="pct"/>
            <w:tcBorders>
              <w:tl2br w:val="nil"/>
              <w:tr2bl w:val="nil"/>
            </w:tcBorders>
            <w:vAlign w:val="center"/>
          </w:tcPr>
          <w:p w14:paraId="50CDC2AF">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操作风险、市场风险</w:t>
            </w:r>
          </w:p>
        </w:tc>
        <w:tc>
          <w:tcPr>
            <w:tcW w:w="406" w:type="pct"/>
            <w:tcBorders>
              <w:tl2br w:val="nil"/>
              <w:tr2bl w:val="nil"/>
            </w:tcBorders>
            <w:vAlign w:val="center"/>
          </w:tcPr>
          <w:p w14:paraId="0689F181">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资产质量</w:t>
            </w:r>
          </w:p>
        </w:tc>
        <w:tc>
          <w:tcPr>
            <w:tcW w:w="1576" w:type="pct"/>
            <w:tcBorders>
              <w:tl2br w:val="nil"/>
              <w:tr2bl w:val="nil"/>
            </w:tcBorders>
            <w:vAlign w:val="center"/>
          </w:tcPr>
          <w:p w14:paraId="74156A5D">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乌海地区长期面临水资源约束及生态环境脆弱性问题，对污水处理及其再生利用、住宅房屋建筑和太阳能发电等自然依赖较高行业形成长期影响。</w:t>
            </w:r>
          </w:p>
          <w:p w14:paraId="0EFD30D9">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持续干旱、高温及水资源紧张可能提高污水处理项目运营成本，影响再生水利用效率；住宅建筑行业可能面临绿色节能标准提高及基础设施适应性改造压力；太阳能发电行业则可能受到极端天气、风沙天气及设备老化等因素影响，导致发电效率波动。</w:t>
            </w:r>
          </w:p>
          <w:p w14:paraId="4C6D1570">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长期生态退化及资源环境约束可能影响区域投资活跃度和项目收益稳定性，进而对银行中长期资产质量和业务发展形成影响。</w:t>
            </w:r>
          </w:p>
        </w:tc>
        <w:tc>
          <w:tcPr>
            <w:tcW w:w="1573" w:type="pct"/>
            <w:tcBorders>
              <w:tl2br w:val="nil"/>
              <w:tr2bl w:val="nil"/>
            </w:tcBorders>
            <w:vAlign w:val="center"/>
          </w:tcPr>
          <w:p w14:paraId="68DFC4F6">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将资源环境承载能力纳入区域与行业决策，优化高耗水、高生态依赖行业敞口；加大水资源管理、污水处理及生态修复领域支持。</w:t>
            </w:r>
          </w:p>
          <w:p w14:paraId="1FA64E02">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在信贷流程中纳入气候与环境风险导致的抵押物减值损失，引入气候变化情景分析与行业敏感性研究，将物种适应性、水资源可持续性等指标纳入授信评审。</w:t>
            </w:r>
          </w:p>
          <w:p w14:paraId="0A7293AA">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主动引导存量客户开展适应性改造，将绿色金融产品与技改投入挂钩；通过拉长授信周期、设置宽限期等方式，帮助客户平滑转型财务压力。</w:t>
            </w:r>
          </w:p>
          <w:p w14:paraId="351EB13F">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针对气候敏感型行业，开展气候风险定性与定量分析，评估对还款能力的影响；强化气候韧性高、生态友好项目的资源支持，逐步降低高资源依赖行业敞口。</w:t>
            </w:r>
          </w:p>
        </w:tc>
        <w:tc>
          <w:tcPr>
            <w:tcW w:w="278" w:type="pct"/>
            <w:tcBorders>
              <w:tl2br w:val="nil"/>
              <w:tr2bl w:val="nil"/>
            </w:tcBorders>
            <w:vAlign w:val="center"/>
          </w:tcPr>
          <w:p w14:paraId="796EDA5F">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中长期</w:t>
            </w:r>
          </w:p>
        </w:tc>
      </w:tr>
    </w:tbl>
    <w:p w14:paraId="60A5358D">
      <w:pPr>
        <w:spacing w:after="200"/>
        <w:ind w:firstLine="480"/>
        <w:rPr>
          <w:rFonts w:eastAsia="宋体" w:cs="Times New Roman"/>
        </w:rPr>
        <w:sectPr>
          <w:footerReference r:id="rId22" w:type="first"/>
          <w:footerReference r:id="rId21" w:type="default"/>
          <w:pgSz w:w="16838" w:h="11906" w:orient="landscape"/>
          <w:pgMar w:top="1800" w:right="1440" w:bottom="1800" w:left="1440" w:header="851" w:footer="992" w:gutter="0"/>
          <w:cols w:space="425" w:num="1"/>
          <w:titlePg/>
          <w:docGrid w:type="lines" w:linePitch="381" w:charSpace="0"/>
        </w:sectPr>
      </w:pPr>
      <w:r>
        <w:rPr>
          <w:rFonts w:eastAsia="宋体" w:cs="Times New Roman"/>
          <w:sz w:val="24"/>
          <w:szCs w:val="24"/>
        </w:rPr>
        <w:br w:type="page"/>
      </w:r>
    </w:p>
    <w:p w14:paraId="2DE0265A">
      <w:pPr>
        <w:keepNext/>
        <w:keepLines/>
        <w:numPr>
          <w:ilvl w:val="1"/>
          <w:numId w:val="1"/>
        </w:numPr>
        <w:ind w:firstLine="200" w:firstLineChars="0"/>
        <w:outlineLvl w:val="1"/>
        <w:rPr>
          <w:rFonts w:eastAsia="宋体" w:cs="Times New Roman"/>
          <w:b/>
          <w:bCs/>
          <w:szCs w:val="26"/>
        </w:rPr>
      </w:pPr>
      <w:bookmarkStart w:id="191" w:name="_Toc30631"/>
      <w:bookmarkStart w:id="192" w:name="_Toc12479"/>
      <w:bookmarkStart w:id="193" w:name="_Toc20127"/>
      <w:bookmarkStart w:id="194" w:name="_Toc24102"/>
      <w:bookmarkStart w:id="195" w:name="_Toc225235194"/>
      <w:r>
        <w:rPr>
          <w:rFonts w:eastAsia="宋体" w:cs="Times New Roman"/>
          <w:b/>
          <w:bCs/>
          <w:szCs w:val="26"/>
        </w:rPr>
        <w:t>分析自然相关机遇</w:t>
      </w:r>
      <w:bookmarkEnd w:id="191"/>
      <w:bookmarkEnd w:id="192"/>
      <w:bookmarkEnd w:id="193"/>
      <w:bookmarkEnd w:id="194"/>
      <w:bookmarkEnd w:id="195"/>
    </w:p>
    <w:p w14:paraId="122F22E1">
      <w:pPr>
        <w:ind w:firstLine="482"/>
        <w:jc w:val="center"/>
        <w:rPr>
          <w:rFonts w:eastAsia="宋体" w:cs="Times New Roman"/>
          <w:b/>
          <w:bCs/>
          <w:sz w:val="24"/>
          <w:szCs w:val="18"/>
        </w:rPr>
      </w:pPr>
      <w:r>
        <w:rPr>
          <w:rFonts w:hint="eastAsia" w:eastAsia="宋体" w:cs="Times New Roman"/>
          <w:b/>
          <w:bCs/>
          <w:sz w:val="24"/>
          <w:szCs w:val="18"/>
        </w:rPr>
        <w:t>表</w:t>
      </w:r>
      <w:r>
        <w:rPr>
          <w:rFonts w:eastAsia="宋体" w:cs="Times New Roman"/>
          <w:b/>
          <w:bCs/>
          <w:sz w:val="24"/>
          <w:szCs w:val="18"/>
        </w:rPr>
        <w:t>7</w:t>
      </w:r>
      <w:r>
        <w:rPr>
          <w:rFonts w:hint="eastAsia" w:eastAsia="宋体" w:cs="Times New Roman"/>
          <w:b/>
          <w:bCs/>
          <w:sz w:val="24"/>
          <w:szCs w:val="18"/>
        </w:rPr>
        <w:t>. 乌海银行</w:t>
      </w:r>
      <w:r>
        <w:rPr>
          <w:rFonts w:eastAsia="宋体" w:cs="Times New Roman"/>
          <w:b/>
          <w:bCs/>
          <w:sz w:val="24"/>
          <w:szCs w:val="18"/>
        </w:rPr>
        <w:t>自然相关机遇分析</w:t>
      </w:r>
    </w:p>
    <w:tbl>
      <w:tblPr>
        <w:tblStyle w:val="7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9"/>
        <w:gridCol w:w="1651"/>
        <w:gridCol w:w="5233"/>
        <w:gridCol w:w="5471"/>
        <w:gridCol w:w="929"/>
      </w:tblGrid>
      <w:tr w14:paraId="4BB88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blHeader/>
          <w:jc w:val="center"/>
        </w:trPr>
        <w:tc>
          <w:tcPr>
            <w:tcW w:w="875" w:type="dxa"/>
            <w:tcBorders>
              <w:bottom w:val="nil"/>
              <w:right w:val="nil"/>
              <w:tl2br w:val="nil"/>
              <w:tr2bl w:val="nil"/>
            </w:tcBorders>
            <w:shd w:val="clear" w:color="auto" w:fill="44546A"/>
            <w:vAlign w:val="center"/>
          </w:tcPr>
          <w:p w14:paraId="354FACBF">
            <w:pPr>
              <w:widowControl w:val="0"/>
              <w:snapToGrid/>
              <w:spacing w:line="240" w:lineRule="auto"/>
              <w:ind w:firstLine="0" w:firstLineChars="0"/>
              <w:jc w:val="center"/>
              <w:rPr>
                <w:rFonts w:ascii="宋体" w:hAnsi="宋体" w:eastAsia="宋体" w:cs="宋体"/>
                <w:b/>
                <w:bCs w:val="0"/>
                <w:color w:val="FFFFFF"/>
                <w:sz w:val="24"/>
                <w:szCs w:val="24"/>
              </w:rPr>
            </w:pPr>
            <w:r>
              <w:rPr>
                <w:rFonts w:hint="eastAsia" w:ascii="宋体" w:hAnsi="宋体" w:eastAsia="宋体" w:cs="宋体"/>
                <w:b/>
                <w:bCs/>
                <w:color w:val="FFFFFF"/>
                <w:sz w:val="24"/>
                <w:szCs w:val="24"/>
              </w:rPr>
              <w:t>机遇类型</w:t>
            </w:r>
          </w:p>
        </w:tc>
        <w:tc>
          <w:tcPr>
            <w:tcW w:w="1625" w:type="dxa"/>
            <w:tcBorders>
              <w:tl2br w:val="nil"/>
              <w:tr2bl w:val="nil"/>
            </w:tcBorders>
            <w:shd w:val="clear" w:color="auto" w:fill="44546A"/>
            <w:vAlign w:val="center"/>
          </w:tcPr>
          <w:p w14:paraId="36367023">
            <w:pPr>
              <w:widowControl w:val="0"/>
              <w:snapToGrid/>
              <w:spacing w:line="240" w:lineRule="auto"/>
              <w:ind w:firstLine="0" w:firstLineChars="0"/>
              <w:jc w:val="center"/>
              <w:rPr>
                <w:rFonts w:ascii="宋体" w:hAnsi="宋体" w:eastAsia="宋体" w:cs="宋体"/>
                <w:b/>
                <w:bCs/>
                <w:color w:val="FFFFFF"/>
                <w:sz w:val="24"/>
                <w:szCs w:val="24"/>
              </w:rPr>
            </w:pPr>
            <w:r>
              <w:rPr>
                <w:rFonts w:hint="eastAsia" w:ascii="宋体" w:hAnsi="宋体" w:eastAsia="宋体" w:cs="宋体"/>
                <w:b/>
                <w:bCs/>
                <w:color w:val="FFFFFF"/>
                <w:sz w:val="24"/>
                <w:szCs w:val="24"/>
              </w:rPr>
              <w:t>影响价值链位置</w:t>
            </w:r>
          </w:p>
        </w:tc>
        <w:tc>
          <w:tcPr>
            <w:tcW w:w="5150" w:type="dxa"/>
            <w:tcBorders>
              <w:tl2br w:val="nil"/>
              <w:tr2bl w:val="nil"/>
            </w:tcBorders>
            <w:shd w:val="clear" w:color="auto" w:fill="44546A"/>
            <w:vAlign w:val="center"/>
          </w:tcPr>
          <w:p w14:paraId="339BF873">
            <w:pPr>
              <w:widowControl w:val="0"/>
              <w:snapToGrid/>
              <w:spacing w:line="240" w:lineRule="auto"/>
              <w:ind w:firstLine="0" w:firstLineChars="0"/>
              <w:jc w:val="center"/>
              <w:rPr>
                <w:rFonts w:ascii="宋体" w:hAnsi="宋体" w:eastAsia="宋体" w:cs="宋体"/>
                <w:b/>
                <w:bCs w:val="0"/>
                <w:color w:val="FFFFFF"/>
                <w:sz w:val="24"/>
                <w:szCs w:val="24"/>
              </w:rPr>
            </w:pPr>
            <w:r>
              <w:rPr>
                <w:rFonts w:hint="eastAsia" w:ascii="宋体" w:hAnsi="宋体" w:eastAsia="宋体" w:cs="宋体"/>
                <w:b/>
                <w:bCs w:val="0"/>
                <w:color w:val="FFFFFF"/>
                <w:sz w:val="24"/>
                <w:szCs w:val="24"/>
              </w:rPr>
              <w:t>机遇描述</w:t>
            </w:r>
          </w:p>
        </w:tc>
        <w:tc>
          <w:tcPr>
            <w:tcW w:w="5384" w:type="dxa"/>
            <w:tcBorders>
              <w:tl2br w:val="nil"/>
              <w:tr2bl w:val="nil"/>
            </w:tcBorders>
            <w:shd w:val="clear" w:color="auto" w:fill="44546A"/>
            <w:vAlign w:val="center"/>
          </w:tcPr>
          <w:p w14:paraId="7DF022C8">
            <w:pPr>
              <w:widowControl w:val="0"/>
              <w:snapToGrid/>
              <w:spacing w:line="240" w:lineRule="auto"/>
              <w:ind w:firstLine="0" w:firstLineChars="0"/>
              <w:jc w:val="center"/>
              <w:rPr>
                <w:rFonts w:ascii="宋体" w:hAnsi="宋体" w:eastAsia="宋体" w:cs="宋体"/>
                <w:b/>
                <w:bCs/>
                <w:color w:val="FFFFFF"/>
                <w:sz w:val="24"/>
                <w:szCs w:val="24"/>
              </w:rPr>
            </w:pPr>
            <w:r>
              <w:rPr>
                <w:rFonts w:hint="eastAsia" w:ascii="宋体" w:hAnsi="宋体" w:eastAsia="宋体" w:cs="宋体"/>
                <w:b/>
                <w:bCs/>
                <w:color w:val="FFFFFF"/>
                <w:sz w:val="24"/>
                <w:szCs w:val="24"/>
              </w:rPr>
              <w:t>应对措施</w:t>
            </w:r>
          </w:p>
        </w:tc>
        <w:tc>
          <w:tcPr>
            <w:tcW w:w="914" w:type="dxa"/>
            <w:tcBorders>
              <w:tl2br w:val="nil"/>
              <w:tr2bl w:val="nil"/>
            </w:tcBorders>
            <w:shd w:val="clear" w:color="auto" w:fill="44546A"/>
            <w:vAlign w:val="center"/>
          </w:tcPr>
          <w:p w14:paraId="598B255C">
            <w:pPr>
              <w:widowControl w:val="0"/>
              <w:snapToGrid/>
              <w:spacing w:line="240" w:lineRule="auto"/>
              <w:ind w:firstLine="0" w:firstLineChars="0"/>
              <w:jc w:val="center"/>
              <w:rPr>
                <w:rFonts w:ascii="宋体" w:hAnsi="宋体" w:eastAsia="宋体" w:cs="宋体"/>
                <w:b/>
                <w:bCs w:val="0"/>
                <w:color w:val="FFFFFF"/>
                <w:sz w:val="24"/>
                <w:szCs w:val="24"/>
              </w:rPr>
            </w:pPr>
            <w:r>
              <w:rPr>
                <w:rFonts w:hint="eastAsia" w:ascii="宋体" w:hAnsi="宋体" w:eastAsia="宋体" w:cs="宋体"/>
                <w:b/>
                <w:bCs/>
                <w:color w:val="FFFFFF"/>
                <w:sz w:val="24"/>
                <w:szCs w:val="24"/>
              </w:rPr>
              <w:t>影响时间</w:t>
            </w:r>
          </w:p>
        </w:tc>
      </w:tr>
      <w:tr w14:paraId="2A4B6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9" w:hRule="atLeast"/>
          <w:jc w:val="center"/>
        </w:trPr>
        <w:tc>
          <w:tcPr>
            <w:tcW w:w="875" w:type="dxa"/>
            <w:tcBorders>
              <w:right w:val="nil"/>
              <w:insideV w:val="nil"/>
              <w:tl2br w:val="nil"/>
              <w:tr2bl w:val="nil"/>
            </w:tcBorders>
            <w:shd w:val="clear" w:color="auto" w:fill="FFFFFF"/>
            <w:vAlign w:val="center"/>
          </w:tcPr>
          <w:p w14:paraId="73418DA5">
            <w:pPr>
              <w:widowControl w:val="0"/>
              <w:snapToGrid/>
              <w:spacing w:line="240" w:lineRule="auto"/>
              <w:ind w:firstLine="0" w:firstLineChars="0"/>
              <w:jc w:val="center"/>
              <w:rPr>
                <w:rFonts w:ascii="宋体" w:hAnsi="宋体" w:eastAsia="宋体" w:cs="宋体"/>
                <w:b w:val="0"/>
                <w:bCs w:val="0"/>
                <w:sz w:val="24"/>
                <w:szCs w:val="24"/>
              </w:rPr>
            </w:pPr>
            <w:r>
              <w:rPr>
                <w:rFonts w:hint="eastAsia" w:ascii="宋体" w:hAnsi="宋体" w:eastAsia="宋体" w:cs="宋体"/>
                <w:b w:val="0"/>
                <w:bCs w:val="0"/>
                <w:sz w:val="24"/>
                <w:szCs w:val="24"/>
              </w:rPr>
              <w:t>政策和法律</w:t>
            </w:r>
          </w:p>
        </w:tc>
        <w:tc>
          <w:tcPr>
            <w:tcW w:w="1625" w:type="dxa"/>
            <w:tcBorders>
              <w:tl2br w:val="nil"/>
              <w:tr2bl w:val="nil"/>
            </w:tcBorders>
            <w:vAlign w:val="center"/>
          </w:tcPr>
          <w:p w14:paraId="1EC4296C">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投融资组合</w:t>
            </w:r>
          </w:p>
        </w:tc>
        <w:tc>
          <w:tcPr>
            <w:tcW w:w="5150" w:type="dxa"/>
            <w:tcBorders>
              <w:tl2br w:val="nil"/>
              <w:tr2bl w:val="nil"/>
            </w:tcBorders>
            <w:vAlign w:val="center"/>
          </w:tcPr>
          <w:p w14:paraId="0E2F6542">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国家持续推进“双碳”目标、黄河流域生态保护和高质量发展等战略，内蒙古作为国家重要能源基地和生态安全屏障，持续获得绿色低碳转型及生态治理相关政策支持。</w:t>
            </w:r>
          </w:p>
          <w:p w14:paraId="05141E4A">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内蒙古新能源基地建设、“沙戈荒”大型风光基地开发及资源型城市绿色转型持续推进，为太阳能发电、节能改造、固体废弃物综合利用及污染治理等领域带来大量绿色融资需求。</w:t>
            </w:r>
          </w:p>
          <w:p w14:paraId="75A0E0F7">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水资源节约集约利用、工业节水改造及污水处理再生利用相关政策持续强化，为污水处理及再生利用行业释放长期项目机会。</w:t>
            </w:r>
          </w:p>
          <w:p w14:paraId="4C5070BB">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绿色金融、转型金融、生物多样性金融等政策工具不断完善，绿色贷款贴息、风险补偿及监管激励等政策，有助于降低绿色金融业务成本并提升业务可持续性。</w:t>
            </w:r>
          </w:p>
          <w:p w14:paraId="72635F8F">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污水处理及其再生利用、危险废物治理、太阳能发电及绿色建筑等领域，与国家绿色低碳政策方向契合度较高，在处理好与自然的关系后，仍具备持续业务拓展空间。</w:t>
            </w:r>
          </w:p>
        </w:tc>
        <w:tc>
          <w:tcPr>
            <w:tcW w:w="5384" w:type="dxa"/>
            <w:tcBorders>
              <w:tl2br w:val="nil"/>
              <w:tr2bl w:val="nil"/>
            </w:tcBorders>
            <w:vAlign w:val="center"/>
          </w:tcPr>
          <w:p w14:paraId="58EA8A4A">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将节能环保、可再生资源、清洁能源等领域作为绿色信贷重点支持方向，持续优化绿色资产配置结构。</w:t>
            </w:r>
          </w:p>
          <w:p w14:paraId="45D239C8">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积极对接地方政府、发改、生态环境等部门，争取绿色项目贴息、风险补偿及专项政策支持。</w:t>
            </w:r>
          </w:p>
          <w:p w14:paraId="00F81013">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围绕资源型城市绿色转型需求，探索转型金融产品和差异化融资服务模式。</w:t>
            </w:r>
          </w:p>
          <w:p w14:paraId="1375DCFF">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持续完善绿色贷款识别和标识管理，提高绿色金融数据管理及监管响应能力。</w:t>
            </w:r>
          </w:p>
          <w:p w14:paraId="64F6B770">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建立政策动态跟踪机制，及时把握新能源、节水环保及循环经济领域业务机遇。</w:t>
            </w:r>
          </w:p>
        </w:tc>
        <w:tc>
          <w:tcPr>
            <w:tcW w:w="914" w:type="dxa"/>
            <w:tcBorders>
              <w:tl2br w:val="nil"/>
              <w:tr2bl w:val="nil"/>
            </w:tcBorders>
            <w:vAlign w:val="center"/>
          </w:tcPr>
          <w:p w14:paraId="1A799BD8">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短中长期</w:t>
            </w:r>
          </w:p>
        </w:tc>
      </w:tr>
      <w:tr w14:paraId="731F1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875" w:type="dxa"/>
            <w:tcBorders>
              <w:right w:val="nil"/>
              <w:insideV w:val="nil"/>
              <w:tl2br w:val="nil"/>
              <w:tr2bl w:val="nil"/>
            </w:tcBorders>
            <w:shd w:val="clear" w:color="auto" w:fill="FFFFFF"/>
            <w:vAlign w:val="center"/>
          </w:tcPr>
          <w:p w14:paraId="74D27533">
            <w:pPr>
              <w:widowControl w:val="0"/>
              <w:snapToGrid/>
              <w:spacing w:line="240" w:lineRule="auto"/>
              <w:ind w:firstLine="0" w:firstLineChars="0"/>
              <w:jc w:val="center"/>
              <w:rPr>
                <w:rFonts w:ascii="宋体" w:hAnsi="宋体" w:eastAsia="宋体" w:cs="宋体"/>
                <w:b w:val="0"/>
                <w:bCs w:val="0"/>
                <w:sz w:val="24"/>
                <w:szCs w:val="24"/>
              </w:rPr>
            </w:pPr>
            <w:r>
              <w:rPr>
                <w:rFonts w:hint="eastAsia" w:ascii="宋体" w:hAnsi="宋体" w:eastAsia="宋体" w:cs="宋体"/>
                <w:b w:val="0"/>
                <w:bCs w:val="0"/>
                <w:sz w:val="24"/>
                <w:szCs w:val="24"/>
              </w:rPr>
              <w:t>声誉</w:t>
            </w:r>
          </w:p>
        </w:tc>
        <w:tc>
          <w:tcPr>
            <w:tcW w:w="1625" w:type="dxa"/>
            <w:tcBorders>
              <w:tl2br w:val="nil"/>
              <w:tr2bl w:val="nil"/>
            </w:tcBorders>
            <w:vAlign w:val="center"/>
          </w:tcPr>
          <w:p w14:paraId="6669E0E4">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品牌价值、客户关系</w:t>
            </w:r>
          </w:p>
        </w:tc>
        <w:tc>
          <w:tcPr>
            <w:tcW w:w="5150" w:type="dxa"/>
            <w:tcBorders>
              <w:tl2br w:val="nil"/>
              <w:tr2bl w:val="nil"/>
            </w:tcBorders>
            <w:vAlign w:val="center"/>
          </w:tcPr>
          <w:p w14:paraId="5CC65FEF">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随着绿色低碳发展理念持续深化，地方金融机构积极布局绿色金融，有助于提升差异化竞争优势和市场认可度。</w:t>
            </w:r>
          </w:p>
          <w:p w14:paraId="6ABF81E0">
            <w:pPr>
              <w:widowControl w:val="0"/>
              <w:numPr>
                <w:ilvl w:val="0"/>
                <w:numId w:val="6"/>
              </w:numPr>
              <w:snapToGrid/>
              <w:spacing w:line="240" w:lineRule="auto"/>
              <w:ind w:firstLineChars="0"/>
              <w:jc w:val="left"/>
              <w:rPr>
                <w:rFonts w:ascii="宋体" w:hAnsi="宋体" w:eastAsia="宋体" w:cs="宋体"/>
                <w:sz w:val="24"/>
                <w:szCs w:val="24"/>
                <w:highlight w:val="none"/>
              </w:rPr>
            </w:pPr>
            <w:r>
              <w:rPr>
                <w:rFonts w:hint="eastAsia" w:ascii="宋体" w:hAnsi="宋体" w:eastAsia="宋体" w:cs="宋体"/>
                <w:sz w:val="24"/>
                <w:szCs w:val="24"/>
                <w:highlight w:val="none"/>
              </w:rPr>
              <w:t>我行持续加大绿色贷款投放，重点支持</w:t>
            </w:r>
            <w:r>
              <w:rPr>
                <w:rFonts w:hint="eastAsia" w:ascii="宋体" w:hAnsi="宋体" w:eastAsia="宋体" w:cs="宋体"/>
                <w:sz w:val="24"/>
                <w:szCs w:val="24"/>
              </w:rPr>
              <w:t>节能环保、可再生资源、清洁能源</w:t>
            </w:r>
            <w:r>
              <w:rPr>
                <w:rFonts w:hint="eastAsia" w:ascii="宋体" w:hAnsi="宋体" w:eastAsia="宋体" w:cs="宋体"/>
                <w:sz w:val="24"/>
                <w:szCs w:val="24"/>
                <w:highlight w:val="none"/>
              </w:rPr>
              <w:t>等领域，有助于树立负责任银行形象。</w:t>
            </w:r>
          </w:p>
          <w:p w14:paraId="3ADB1870">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highlight w:val="none"/>
              </w:rPr>
              <w:t>通过支持</w:t>
            </w:r>
            <w:r>
              <w:rPr>
                <w:rFonts w:hint="eastAsia" w:ascii="宋体" w:hAnsi="宋体" w:eastAsia="宋体" w:cs="宋体"/>
                <w:sz w:val="24"/>
                <w:szCs w:val="24"/>
              </w:rPr>
              <w:t>节能环保、可再生资源、清洁能源</w:t>
            </w:r>
            <w:r>
              <w:rPr>
                <w:rFonts w:hint="eastAsia" w:ascii="宋体" w:hAnsi="宋体" w:eastAsia="宋体" w:cs="宋体"/>
                <w:sz w:val="24"/>
                <w:szCs w:val="24"/>
                <w:highlight w:val="none"/>
              </w:rPr>
              <w:t>项目</w:t>
            </w:r>
            <w:r>
              <w:rPr>
                <w:rFonts w:hint="eastAsia" w:ascii="宋体" w:hAnsi="宋体" w:eastAsia="宋体" w:cs="宋体"/>
                <w:sz w:val="24"/>
                <w:szCs w:val="24"/>
                <w:highlight w:val="none"/>
              </w:rPr>
              <w:t>，可进一步提升银行在地方政府、监管机构及客户中的绿色品牌影响力。</w:t>
            </w:r>
          </w:p>
          <w:p w14:paraId="5D87FFF5">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持续完善环境信息披露及绿色金融治理体系，有助于增强市场透明度和客户信任度。</w:t>
            </w:r>
          </w:p>
        </w:tc>
        <w:tc>
          <w:tcPr>
            <w:tcW w:w="5384" w:type="dxa"/>
            <w:tcBorders>
              <w:tl2br w:val="nil"/>
              <w:tr2bl w:val="nil"/>
            </w:tcBorders>
            <w:vAlign w:val="center"/>
          </w:tcPr>
          <w:p w14:paraId="7288A8EC">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完成环境信息披露及TNFD相关管理体系，系统展示绿色金融发展成果与风险管理能力。</w:t>
            </w:r>
          </w:p>
          <w:p w14:paraId="08CC8739">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加强绿色金融品牌宣传，围绕新能源、生态环保及绿色转型开展专题宣传活动。</w:t>
            </w:r>
          </w:p>
          <w:p w14:paraId="4D1808E7">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推动绿色运营及低碳办公，提升内部绿色管理水平。</w:t>
            </w:r>
          </w:p>
          <w:p w14:paraId="6A0C244A">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加强与政府、企业及公众沟通，主动披露绿色贷款投向及生态环境效益。</w:t>
            </w:r>
          </w:p>
          <w:p w14:paraId="2B80853E">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积极参与区域绿色发展和生态治理相关活动，提升社会影响力与品牌价值。</w:t>
            </w:r>
          </w:p>
        </w:tc>
        <w:tc>
          <w:tcPr>
            <w:tcW w:w="914" w:type="dxa"/>
            <w:tcBorders>
              <w:tl2br w:val="nil"/>
              <w:tr2bl w:val="nil"/>
            </w:tcBorders>
            <w:vAlign w:val="center"/>
          </w:tcPr>
          <w:p w14:paraId="19A327F1">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中长期</w:t>
            </w:r>
          </w:p>
        </w:tc>
      </w:tr>
      <w:tr w14:paraId="3AACF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875" w:type="dxa"/>
            <w:tcBorders>
              <w:right w:val="nil"/>
              <w:insideV w:val="nil"/>
              <w:tl2br w:val="nil"/>
              <w:tr2bl w:val="nil"/>
            </w:tcBorders>
            <w:shd w:val="clear" w:color="auto" w:fill="FFFFFF"/>
            <w:vAlign w:val="center"/>
          </w:tcPr>
          <w:p w14:paraId="5001E442">
            <w:pPr>
              <w:widowControl w:val="0"/>
              <w:snapToGrid/>
              <w:spacing w:line="240" w:lineRule="auto"/>
              <w:ind w:firstLine="0" w:firstLineChars="0"/>
              <w:jc w:val="center"/>
              <w:rPr>
                <w:rFonts w:ascii="宋体" w:hAnsi="宋体" w:eastAsia="宋体" w:cs="宋体"/>
                <w:b/>
                <w:bCs/>
                <w:sz w:val="24"/>
                <w:szCs w:val="24"/>
              </w:rPr>
            </w:pPr>
            <w:r>
              <w:rPr>
                <w:rFonts w:hint="eastAsia" w:ascii="宋体" w:hAnsi="宋体" w:eastAsia="宋体" w:cs="宋体"/>
                <w:b w:val="0"/>
                <w:bCs w:val="0"/>
                <w:sz w:val="24"/>
                <w:szCs w:val="24"/>
              </w:rPr>
              <w:t>市场</w:t>
            </w:r>
          </w:p>
        </w:tc>
        <w:tc>
          <w:tcPr>
            <w:tcW w:w="1625" w:type="dxa"/>
            <w:tcBorders>
              <w:tl2br w:val="nil"/>
              <w:tr2bl w:val="nil"/>
            </w:tcBorders>
            <w:vAlign w:val="center"/>
          </w:tcPr>
          <w:p w14:paraId="3E02D96C">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投融资组合、客户结构</w:t>
            </w:r>
          </w:p>
        </w:tc>
        <w:tc>
          <w:tcPr>
            <w:tcW w:w="5150" w:type="dxa"/>
            <w:tcBorders>
              <w:tl2br w:val="nil"/>
              <w:tr2bl w:val="nil"/>
            </w:tcBorders>
            <w:vAlign w:val="center"/>
          </w:tcPr>
          <w:p w14:paraId="00BDB08C">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乌海地区作为资源型工业城市，正在加快推进产业绿色低碳转型，节能环保、太阳能发电、循环经济及绿色基础设施等领域融资需求持续增长。</w:t>
            </w:r>
          </w:p>
          <w:p w14:paraId="1AB8E972">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可再生资源、清洁能源等环保产业受政策驱动明显，项目投资需求较为稳定，为绿色信贷提供长期客户来源。</w:t>
            </w:r>
          </w:p>
          <w:p w14:paraId="4526D5CE">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绿色建筑、节能改造及新能源配套设施建设持续推进，为建筑节能及绿色供应链相关融资带来市场空间。</w:t>
            </w:r>
          </w:p>
          <w:p w14:paraId="189BB491">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随着绿色生产及绿色消费需求提升，绿色产业链上下游融资需求不断扩大，有助于拓展业务边界和客户基础。</w:t>
            </w:r>
          </w:p>
        </w:tc>
        <w:tc>
          <w:tcPr>
            <w:tcW w:w="5384" w:type="dxa"/>
            <w:tcBorders>
              <w:tl2br w:val="nil"/>
              <w:tr2bl w:val="nil"/>
            </w:tcBorders>
            <w:vAlign w:val="center"/>
          </w:tcPr>
          <w:p w14:paraId="67BC2DAE">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建立绿色重点客户和项目储备库，</w:t>
            </w:r>
            <w:r>
              <w:rPr>
                <w:rFonts w:hint="eastAsia" w:ascii="宋体" w:hAnsi="宋体" w:eastAsia="宋体" w:cs="宋体"/>
                <w:sz w:val="24"/>
                <w:szCs w:val="24"/>
                <w:highlight w:val="none"/>
              </w:rPr>
              <w:t>重点支持</w:t>
            </w:r>
            <w:r>
              <w:rPr>
                <w:rFonts w:hint="eastAsia" w:ascii="宋体" w:hAnsi="宋体" w:eastAsia="宋体" w:cs="宋体"/>
                <w:sz w:val="24"/>
                <w:szCs w:val="24"/>
              </w:rPr>
              <w:t>节能环保、可再生资源、清洁能源等领域客户。</w:t>
            </w:r>
          </w:p>
          <w:p w14:paraId="059E63A5">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持续丰富绿色金融产品体系，灵活运用流动资金贷款、项目贷款及设备融资等产品满足客户需求。</w:t>
            </w:r>
          </w:p>
          <w:p w14:paraId="356B9800">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推动“金融+产业链”服务模式，支持绿色产业链上下游协同发展。</w:t>
            </w:r>
          </w:p>
          <w:p w14:paraId="1EFDB1A4">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对绿色优质客户实施差异化审批及利率政策，提高绿色金融服务效率与竞争力。</w:t>
            </w:r>
          </w:p>
          <w:p w14:paraId="29F8DE36">
            <w:pPr>
              <w:widowControl w:val="0"/>
              <w:numPr>
                <w:ilvl w:val="0"/>
                <w:numId w:val="6"/>
              </w:numPr>
              <w:snapToGrid/>
              <w:spacing w:line="240" w:lineRule="auto"/>
              <w:ind w:firstLineChars="0"/>
              <w:jc w:val="left"/>
              <w:rPr>
                <w:rFonts w:ascii="宋体" w:hAnsi="宋体" w:eastAsia="宋体" w:cs="宋体"/>
                <w:sz w:val="24"/>
                <w:szCs w:val="24"/>
              </w:rPr>
            </w:pPr>
            <w:r>
              <w:rPr>
                <w:rFonts w:hint="eastAsia" w:ascii="宋体" w:hAnsi="宋体" w:eastAsia="宋体" w:cs="宋体"/>
                <w:sz w:val="24"/>
                <w:szCs w:val="24"/>
              </w:rPr>
              <w:t>加强绿色小微企业服务，提升绿色融资便利性与可获得性。</w:t>
            </w:r>
          </w:p>
        </w:tc>
        <w:tc>
          <w:tcPr>
            <w:tcW w:w="914" w:type="dxa"/>
            <w:tcBorders>
              <w:tl2br w:val="nil"/>
              <w:tr2bl w:val="nil"/>
            </w:tcBorders>
            <w:vAlign w:val="center"/>
          </w:tcPr>
          <w:p w14:paraId="422AE3FD">
            <w:pPr>
              <w:widowControl w:val="0"/>
              <w:snapToGrid/>
              <w:spacing w:line="240" w:lineRule="auto"/>
              <w:ind w:firstLine="0" w:firstLineChars="0"/>
              <w:jc w:val="center"/>
              <w:rPr>
                <w:rFonts w:ascii="宋体" w:hAnsi="宋体" w:eastAsia="宋体" w:cs="宋体"/>
                <w:sz w:val="24"/>
                <w:szCs w:val="24"/>
              </w:rPr>
            </w:pPr>
            <w:r>
              <w:rPr>
                <w:rFonts w:hint="eastAsia" w:ascii="宋体" w:hAnsi="宋体" w:eastAsia="宋体" w:cs="宋体"/>
                <w:sz w:val="24"/>
                <w:szCs w:val="24"/>
              </w:rPr>
              <w:t>短中长期</w:t>
            </w:r>
          </w:p>
        </w:tc>
      </w:tr>
    </w:tbl>
    <w:p w14:paraId="53CF5C37">
      <w:pPr>
        <w:ind w:firstLine="560"/>
        <w:rPr>
          <w:rFonts w:eastAsia="宋体" w:cs="Times New Roman"/>
        </w:rPr>
        <w:sectPr>
          <w:pgSz w:w="16838" w:h="11906" w:orient="landscape"/>
          <w:pgMar w:top="1800" w:right="1440" w:bottom="1800" w:left="1440" w:header="851" w:footer="992" w:gutter="0"/>
          <w:cols w:space="425" w:num="1"/>
          <w:titlePg/>
          <w:docGrid w:type="lines" w:linePitch="312" w:charSpace="0"/>
        </w:sectPr>
      </w:pPr>
    </w:p>
    <w:p w14:paraId="3C769A93">
      <w:pPr>
        <w:keepNext/>
        <w:keepLines/>
        <w:numPr>
          <w:ilvl w:val="1"/>
          <w:numId w:val="1"/>
        </w:numPr>
        <w:ind w:firstLine="200" w:firstLineChars="0"/>
        <w:outlineLvl w:val="1"/>
        <w:rPr>
          <w:rFonts w:eastAsia="宋体" w:cs="Times New Roman"/>
          <w:b/>
          <w:bCs/>
          <w:szCs w:val="26"/>
        </w:rPr>
      </w:pPr>
      <w:bookmarkStart w:id="196" w:name="_Toc15456"/>
      <w:bookmarkStart w:id="197" w:name="_Toc225235195"/>
      <w:bookmarkStart w:id="198" w:name="_Toc24142"/>
      <w:bookmarkStart w:id="199" w:name="_Toc8409"/>
      <w:bookmarkStart w:id="200" w:name="_Toc9646"/>
      <w:r>
        <w:rPr>
          <w:rFonts w:eastAsia="宋体" w:cs="Times New Roman"/>
          <w:b/>
          <w:bCs/>
          <w:szCs w:val="26"/>
        </w:rPr>
        <w:t>完善自然相关风险与机遇管理策略</w:t>
      </w:r>
      <w:bookmarkEnd w:id="196"/>
      <w:bookmarkEnd w:id="197"/>
      <w:bookmarkEnd w:id="198"/>
      <w:bookmarkEnd w:id="199"/>
      <w:bookmarkEnd w:id="200"/>
    </w:p>
    <w:p w14:paraId="08992A55">
      <w:pPr>
        <w:keepNext/>
        <w:keepLines/>
        <w:numPr>
          <w:ilvl w:val="2"/>
          <w:numId w:val="1"/>
        </w:numPr>
        <w:ind w:firstLine="200" w:firstLineChars="0"/>
        <w:outlineLvl w:val="2"/>
        <w:rPr>
          <w:rFonts w:eastAsia="宋体" w:cs="Times New Roman"/>
          <w:b/>
          <w:bCs/>
        </w:rPr>
      </w:pPr>
      <w:r>
        <w:rPr>
          <w:rFonts w:eastAsia="宋体" w:cs="Times New Roman"/>
          <w:b/>
          <w:bCs/>
        </w:rPr>
        <w:t>健全风险识别与评估机制</w:t>
      </w:r>
    </w:p>
    <w:p w14:paraId="63C2112C">
      <w:pPr>
        <w:spacing w:after="120"/>
        <w:ind w:firstLine="560"/>
        <w:rPr>
          <w:rFonts w:eastAsia="宋体" w:cs="Times New Roman"/>
        </w:rPr>
      </w:pPr>
      <w:r>
        <w:rPr>
          <w:rFonts w:hint="eastAsia" w:eastAsia="宋体" w:cs="Times New Roman"/>
        </w:rPr>
        <w:t>乌海银行</w:t>
      </w:r>
      <w:r>
        <w:rPr>
          <w:rFonts w:eastAsia="宋体" w:cs="Times New Roman"/>
        </w:rPr>
        <w:t>持续</w:t>
      </w:r>
      <w:r>
        <w:rPr>
          <w:rFonts w:hint="eastAsia" w:eastAsia="宋体" w:cs="Times New Roman"/>
        </w:rPr>
        <w:t>完善</w:t>
      </w:r>
      <w:r>
        <w:rPr>
          <w:rFonts w:eastAsia="宋体" w:cs="Times New Roman"/>
        </w:rPr>
        <w:t>自然相关风险与机遇的识别</w:t>
      </w:r>
      <w:r>
        <w:rPr>
          <w:rFonts w:hint="eastAsia" w:eastAsia="宋体" w:cs="Times New Roman"/>
        </w:rPr>
        <w:t>、</w:t>
      </w:r>
      <w:r>
        <w:rPr>
          <w:rFonts w:eastAsia="宋体" w:cs="Times New Roman"/>
        </w:rPr>
        <w:t>评估</w:t>
      </w:r>
      <w:r>
        <w:rPr>
          <w:rFonts w:hint="eastAsia" w:eastAsia="宋体" w:cs="Times New Roman"/>
        </w:rPr>
        <w:t>及管理机制</w:t>
      </w:r>
      <w:r>
        <w:rPr>
          <w:rFonts w:eastAsia="宋体" w:cs="Times New Roman"/>
        </w:rPr>
        <w:t>，将气候变化、</w:t>
      </w:r>
      <w:r>
        <w:rPr>
          <w:rFonts w:hint="eastAsia" w:eastAsia="宋体" w:cs="Times New Roman"/>
        </w:rPr>
        <w:t>资源</w:t>
      </w:r>
      <w:r>
        <w:rPr>
          <w:rFonts w:eastAsia="宋体" w:cs="Times New Roman"/>
        </w:rPr>
        <w:t>环境约束及</w:t>
      </w:r>
      <w:r>
        <w:rPr>
          <w:rFonts w:hint="eastAsia" w:eastAsia="宋体" w:cs="Times New Roman"/>
        </w:rPr>
        <w:t>生态保护</w:t>
      </w:r>
      <w:r>
        <w:rPr>
          <w:rFonts w:eastAsia="宋体" w:cs="Times New Roman"/>
        </w:rPr>
        <w:t>纳入全面风险管理框架。在信贷业务全流程中，逐步</w:t>
      </w:r>
      <w:r>
        <w:rPr>
          <w:rFonts w:hint="eastAsia" w:eastAsia="宋体" w:cs="Times New Roman"/>
        </w:rPr>
        <w:t>强化</w:t>
      </w:r>
      <w:r>
        <w:rPr>
          <w:rFonts w:eastAsia="宋体" w:cs="Times New Roman"/>
        </w:rPr>
        <w:t>对客户自然资源依赖程度、生态</w:t>
      </w:r>
      <w:r>
        <w:rPr>
          <w:rFonts w:hint="eastAsia" w:eastAsia="宋体" w:cs="Times New Roman"/>
        </w:rPr>
        <w:t>环境</w:t>
      </w:r>
      <w:r>
        <w:rPr>
          <w:rFonts w:eastAsia="宋体" w:cs="Times New Roman"/>
        </w:rPr>
        <w:t>影响水平及环境合规</w:t>
      </w:r>
      <w:r>
        <w:rPr>
          <w:rFonts w:hint="eastAsia" w:eastAsia="宋体" w:cs="Times New Roman"/>
        </w:rPr>
        <w:t>情况</w:t>
      </w:r>
      <w:r>
        <w:rPr>
          <w:rFonts w:eastAsia="宋体" w:cs="Times New Roman"/>
        </w:rPr>
        <w:t>的系统性</w:t>
      </w:r>
      <w:r>
        <w:rPr>
          <w:rFonts w:hint="eastAsia" w:eastAsia="宋体" w:cs="Times New Roman"/>
        </w:rPr>
        <w:t>识别与</w:t>
      </w:r>
      <w:r>
        <w:rPr>
          <w:rFonts w:eastAsia="宋体" w:cs="Times New Roman"/>
        </w:rPr>
        <w:t>评估，并结合</w:t>
      </w:r>
      <w:r>
        <w:rPr>
          <w:rFonts w:hint="eastAsia" w:eastAsia="宋体" w:cs="Times New Roman"/>
        </w:rPr>
        <w:t>乌海地区资源型城市</w:t>
      </w:r>
      <w:r>
        <w:rPr>
          <w:rFonts w:eastAsia="宋体" w:cs="Times New Roman"/>
        </w:rPr>
        <w:t>产业结构特点，重点关注</w:t>
      </w:r>
      <w:r>
        <w:rPr>
          <w:rFonts w:hint="eastAsia" w:eastAsia="宋体" w:cs="Times New Roman"/>
        </w:rPr>
        <w:t>绿色信贷资产中污水处理及其再生利用、危险废物治理、太阳能发电、绿色建筑等</w:t>
      </w:r>
      <w:r>
        <w:rPr>
          <w:rFonts w:eastAsia="宋体" w:cs="Times New Roman"/>
        </w:rPr>
        <w:t>自然影响</w:t>
      </w:r>
      <w:r>
        <w:rPr>
          <w:rFonts w:hint="eastAsia" w:eastAsia="宋体" w:cs="Times New Roman"/>
        </w:rPr>
        <w:t>或自然依赖</w:t>
      </w:r>
      <w:r>
        <w:rPr>
          <w:rFonts w:eastAsia="宋体" w:cs="Times New Roman"/>
        </w:rPr>
        <w:t>程度较高行业的风险暴露情况。同时，</w:t>
      </w:r>
      <w:r>
        <w:rPr>
          <w:rFonts w:hint="eastAsia" w:eastAsia="宋体" w:cs="Times New Roman"/>
        </w:rPr>
        <w:t>乌海银行持续优化环境风险评估工具和管理流程</w:t>
      </w:r>
      <w:r>
        <w:rPr>
          <w:rFonts w:eastAsia="宋体" w:cs="Times New Roman"/>
        </w:rPr>
        <w:t>，推动风险识别由定性</w:t>
      </w:r>
      <w:r>
        <w:rPr>
          <w:rFonts w:hint="eastAsia" w:eastAsia="宋体" w:cs="Times New Roman"/>
        </w:rPr>
        <w:t>分析</w:t>
      </w:r>
      <w:r>
        <w:rPr>
          <w:rFonts w:eastAsia="宋体" w:cs="Times New Roman"/>
        </w:rPr>
        <w:t>向</w:t>
      </w:r>
      <w:r>
        <w:rPr>
          <w:rFonts w:hint="eastAsia" w:eastAsia="宋体" w:cs="Times New Roman"/>
        </w:rPr>
        <w:t>“</w:t>
      </w:r>
      <w:r>
        <w:rPr>
          <w:rFonts w:eastAsia="宋体" w:cs="Times New Roman"/>
        </w:rPr>
        <w:t>定性+定量</w:t>
      </w:r>
      <w:r>
        <w:rPr>
          <w:rFonts w:hint="eastAsia" w:eastAsia="宋体" w:cs="Times New Roman"/>
        </w:rPr>
        <w:t>”</w:t>
      </w:r>
      <w:r>
        <w:rPr>
          <w:rFonts w:eastAsia="宋体" w:cs="Times New Roman"/>
        </w:rPr>
        <w:t>结合转变，</w:t>
      </w:r>
      <w:r>
        <w:rPr>
          <w:rFonts w:hint="eastAsia" w:eastAsia="宋体" w:cs="Times New Roman"/>
        </w:rPr>
        <w:t>为绿色信贷结构优化、资产组合管理及业务转型发展提供支撑。</w:t>
      </w:r>
    </w:p>
    <w:p w14:paraId="001D137A">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（1）强化物理风险识别与财务影响评估能力</w:t>
      </w:r>
    </w:p>
    <w:p w14:paraId="6949221A">
      <w:pPr>
        <w:spacing w:after="120"/>
        <w:ind w:firstLine="560"/>
        <w:rPr>
          <w:rFonts w:eastAsia="宋体" w:cs="Times New Roman"/>
        </w:rPr>
      </w:pPr>
      <w:r>
        <w:rPr>
          <w:rFonts w:eastAsia="宋体" w:cs="Times New Roman"/>
        </w:rPr>
        <w:t>围绕极端天气事件对实体经济的冲击，</w:t>
      </w:r>
      <w:r>
        <w:rPr>
          <w:rFonts w:hint="eastAsia" w:eastAsia="宋体" w:cs="Times New Roman"/>
        </w:rPr>
        <w:t>结合乌海地区干旱半干旱气候特征及水资源约束现实，乌海银行逐步将高温、干旱、沙尘天气、暴雨洪涝等自然灾害因素纳入客户风险评估框架，重点关注其对客户生产经营连续性、现金流稳定性及抵押资产价值的影响。针对自然依赖程度较高行业，建立差异化风险识别机制，动态跟踪极端天气、水资源波动及生态环境变化对项目运营效率、能源供给稳定性及工程建设进度的影响路径。</w:t>
      </w:r>
    </w:p>
    <w:p w14:paraId="694DD594">
      <w:pPr>
        <w:spacing w:after="120"/>
        <w:ind w:firstLine="560"/>
        <w:rPr>
          <w:rFonts w:eastAsia="宋体" w:cs="Times New Roman"/>
        </w:rPr>
      </w:pPr>
      <w:r>
        <w:rPr>
          <w:rFonts w:hint="eastAsia" w:eastAsia="宋体" w:cs="Times New Roman"/>
        </w:rPr>
        <w:t>同时，乌海银行持续加强对区域资源环境承载能力的关注，探索将气候变化、水资源约束及生态退化等长期因素纳入风险研判范围，逐步提升对慢性物理风险的前瞻识别能力和资产组合稳健性。</w:t>
      </w:r>
    </w:p>
    <w:p w14:paraId="015B60B3">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（2）夯实转型风险研判与政策响应机制</w:t>
      </w:r>
    </w:p>
    <w:p w14:paraId="697C8AC4">
      <w:pPr>
        <w:spacing w:after="120"/>
        <w:ind w:firstLine="560"/>
        <w:rPr>
          <w:rFonts w:eastAsia="宋体" w:cs="Times New Roman"/>
        </w:rPr>
      </w:pPr>
      <w:r>
        <w:rPr>
          <w:rFonts w:eastAsia="宋体" w:cs="Times New Roman"/>
        </w:rPr>
        <w:t>乌海银行持续关注</w:t>
      </w:r>
      <w:r>
        <w:rPr>
          <w:rFonts w:hint="eastAsia" w:eastAsia="宋体" w:cs="Times New Roman"/>
        </w:rPr>
        <w:t>“</w:t>
      </w:r>
      <w:r>
        <w:rPr>
          <w:rFonts w:eastAsia="宋体" w:cs="Times New Roman"/>
        </w:rPr>
        <w:t>双碳</w:t>
      </w:r>
      <w:r>
        <w:rPr>
          <w:rFonts w:hint="eastAsia" w:eastAsia="宋体" w:cs="Times New Roman"/>
        </w:rPr>
        <w:t>”</w:t>
      </w:r>
      <w:r>
        <w:rPr>
          <w:rFonts w:eastAsia="宋体" w:cs="Times New Roman"/>
        </w:rPr>
        <w:t>目标、黄河流域生态保护和高质量发展、能耗双控及绿色低碳转型等政策变化，并将其作为影响客户经营、行业发展及区域经济结构的重要变量纳入风险评估体系。重点分析环保标准提升、资源利用约束、节能减排要求及产业结构调整对客户成本结构、盈利能力及市场竞争力的影响，并评估其向信用风险、市场风险及声誉风险的传导路径。</w:t>
      </w:r>
    </w:p>
    <w:p w14:paraId="2A28B95C">
      <w:pPr>
        <w:spacing w:after="120"/>
        <w:ind w:firstLine="560"/>
        <w:rPr>
          <w:rFonts w:eastAsia="宋体" w:cs="Times New Roman"/>
        </w:rPr>
      </w:pPr>
      <w:r>
        <w:rPr>
          <w:rFonts w:eastAsia="宋体" w:cs="Times New Roman"/>
        </w:rPr>
        <w:t>结合乌海地区资源型产业绿色转型需求，乌海银行重点关注高耗能行业的转型压力，对不符合环保要求及国家产业政策的项目实施审慎准入和风险压降。同时，积极支持节能环保、污染治理、清洁能源、绿色建筑及技术改造等领域发展，持续挖掘绿色低碳转型中的业务机会，实现风险防控与绿色金融发展的动态平衡。</w:t>
      </w:r>
    </w:p>
    <w:p w14:paraId="6CC092F9">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（3）完善生态敏感性识别与分层管理机制</w:t>
      </w:r>
    </w:p>
    <w:p w14:paraId="66111D30">
      <w:pPr>
        <w:spacing w:after="120"/>
        <w:ind w:firstLine="560"/>
        <w:rPr>
          <w:rFonts w:eastAsia="宋体" w:cs="Times New Roman"/>
        </w:rPr>
      </w:pPr>
      <w:r>
        <w:rPr>
          <w:rFonts w:eastAsia="宋体" w:cs="Times New Roman"/>
        </w:rPr>
        <w:t>结合业务布局与客户分布情况，乌海银行逐步加强对生态敏感区域及高环境约束领域的识别与管理，运用地理信息系统（GIS）及生物多样性影响评估（BIA）、水风险分析等工具，关注项目选址、资源占用及环境影响等关键因素。在项目评审过程中，对于环保工程未按要求建设、环保手续不完善或存在重大环境违规风险的项目，审慎开展融资支持；对国家明令禁止或不符合环保政策要求的煤炭、石化、电力、钢铁等行业项目，不新增授信，并稳步推进存量风险项目压降和退出。同时，乌海银行建立环境风险动态监测机制，通过贷前识别、贷中审查及贷后跟踪相结合的方式，对不同环境风险等级客户实施分类管理，强化对高环境敏感行业及重点项目的持续监测与风险预警，不断提升环境风险管理的针对性和有效性。</w:t>
      </w:r>
    </w:p>
    <w:p w14:paraId="2298F8D4">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（4）提升数据支撑与风险量化能力</w:t>
      </w:r>
    </w:p>
    <w:p w14:paraId="729636EF">
      <w:pPr>
        <w:spacing w:after="120"/>
        <w:ind w:firstLine="560"/>
        <w:rPr>
          <w:rFonts w:eastAsia="宋体" w:cs="Times New Roman"/>
        </w:rPr>
      </w:pPr>
      <w:r>
        <w:rPr>
          <w:rFonts w:eastAsia="宋体" w:cs="Times New Roman"/>
        </w:rPr>
        <w:t>乌海银行持续加强环境与气候相关数据的整合与应用，逐步完善绿色贷款识别、统计及标识管理机制，并逐步引入第三方评估工具与模型，提升自然风险量化分析能力。通过推动客户环境信息披露与数据采集，改善绿色信贷统计与绩效评估的准确性，为开展差异化授信管理、绿色金融产品创新及风险定价提供数据支撑。同时，乌海银行积极推动客户环境信息采集和环保信用信息查询，将企业环保信息及守法情况作为授信审批的重要参考依据，不断提升环境风险识别的精细化水平。</w:t>
      </w:r>
    </w:p>
    <w:p w14:paraId="33B50063">
      <w:pPr>
        <w:spacing w:after="120"/>
        <w:ind w:firstLine="560"/>
        <w:rPr>
          <w:rFonts w:eastAsia="宋体" w:cs="Times New Roman"/>
        </w:rPr>
      </w:pPr>
      <w:r>
        <w:rPr>
          <w:rFonts w:eastAsia="宋体" w:cs="Times New Roman"/>
        </w:rPr>
        <w:t>为系统应对自然风险并把握绿色机遇，</w:t>
      </w:r>
      <w:r>
        <w:rPr>
          <w:rFonts w:hint="eastAsia" w:eastAsia="宋体" w:cs="Times New Roman"/>
        </w:rPr>
        <w:t>乌海银行</w:t>
      </w:r>
      <w:r>
        <w:rPr>
          <w:rFonts w:eastAsia="宋体" w:cs="Times New Roman"/>
        </w:rPr>
        <w:t>已构建并持续优化自然相关风险与机遇管理机制，推动其深度融入全面风险管理体系和发展战略，以专业管理护航可持续发展。</w:t>
      </w:r>
    </w:p>
    <w:p w14:paraId="7F1F721B">
      <w:pPr>
        <w:keepNext/>
        <w:keepLines/>
        <w:numPr>
          <w:ilvl w:val="2"/>
          <w:numId w:val="1"/>
        </w:numPr>
        <w:ind w:firstLine="200" w:firstLineChars="0"/>
        <w:outlineLvl w:val="2"/>
        <w:rPr>
          <w:rFonts w:eastAsia="宋体" w:cs="Times New Roman"/>
          <w:b/>
          <w:bCs/>
        </w:rPr>
      </w:pPr>
      <w:r>
        <w:rPr>
          <w:rFonts w:eastAsia="宋体" w:cs="Times New Roman"/>
          <w:b/>
          <w:bCs/>
        </w:rPr>
        <w:t>优化风险管控与缓释措施</w:t>
      </w:r>
    </w:p>
    <w:p w14:paraId="45824E7A">
      <w:pPr>
        <w:spacing w:after="120"/>
        <w:ind w:firstLine="560"/>
        <w:rPr>
          <w:rFonts w:eastAsia="宋体" w:cs="Times New Roman"/>
        </w:rPr>
      </w:pPr>
      <w:r>
        <w:rPr>
          <w:rFonts w:eastAsia="宋体" w:cs="Times New Roman"/>
        </w:rPr>
        <w:t>在持续完善风险识别与评估机制的基础上，</w:t>
      </w:r>
      <w:r>
        <w:rPr>
          <w:rFonts w:hint="eastAsia" w:eastAsia="宋体" w:cs="Times New Roman"/>
        </w:rPr>
        <w:t>乌海银行</w:t>
      </w:r>
      <w:r>
        <w:rPr>
          <w:rFonts w:eastAsia="宋体" w:cs="Times New Roman"/>
        </w:rPr>
        <w:t>进一步从</w:t>
      </w:r>
      <w:r>
        <w:rPr>
          <w:rFonts w:hint="eastAsia" w:eastAsia="宋体" w:cs="Times New Roman"/>
        </w:rPr>
        <w:t>信贷准入、流程管理、产品创新、客户转型支持及能力建设等方面入手，逐步构建覆盖“识别-评估-监测-控制”自然相关风险全流程控制体系。</w:t>
      </w:r>
      <w:r>
        <w:rPr>
          <w:rFonts w:eastAsia="宋体" w:cs="Times New Roman"/>
        </w:rPr>
        <w:t>通过将</w:t>
      </w:r>
      <w:r>
        <w:rPr>
          <w:rFonts w:hint="eastAsia" w:eastAsia="宋体" w:cs="Times New Roman"/>
        </w:rPr>
        <w:t>自然相关</w:t>
      </w:r>
      <w:r>
        <w:rPr>
          <w:rFonts w:eastAsia="宋体" w:cs="Times New Roman"/>
        </w:rPr>
        <w:t>风险管理要求嵌入业务决策</w:t>
      </w:r>
      <w:r>
        <w:rPr>
          <w:rFonts w:hint="eastAsia" w:eastAsia="宋体" w:cs="Times New Roman"/>
        </w:rPr>
        <w:t>、授信审批及</w:t>
      </w:r>
      <w:r>
        <w:rPr>
          <w:rFonts w:eastAsia="宋体" w:cs="Times New Roman"/>
        </w:rPr>
        <w:t>客户服务全过程，</w:t>
      </w:r>
      <w:r>
        <w:rPr>
          <w:rFonts w:hint="eastAsia" w:eastAsia="宋体" w:cs="Times New Roman"/>
        </w:rPr>
        <w:t>推动</w:t>
      </w:r>
      <w:r>
        <w:rPr>
          <w:rFonts w:eastAsia="宋体" w:cs="Times New Roman"/>
        </w:rPr>
        <w:t>风险防控与绿色发展协同推进，持续提升资产组合稳健性与可持续性。</w:t>
      </w:r>
    </w:p>
    <w:p w14:paraId="5A9478D9">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（1）</w:t>
      </w:r>
      <w:r>
        <w:rPr>
          <w:rFonts w:hint="eastAsia" w:eastAsia="宋体" w:cs="Times New Roman"/>
          <w:b/>
          <w:bCs/>
          <w:color w:val="0F1115"/>
          <w:szCs w:val="28"/>
          <w:shd w:val="clear" w:color="auto" w:fill="FFFFFF"/>
        </w:rPr>
        <w:t>强化准入管理与结构优化，降低源头风险暴露</w:t>
      </w:r>
    </w:p>
    <w:p w14:paraId="10E80356">
      <w:pPr>
        <w:spacing w:after="120"/>
        <w:ind w:firstLine="560"/>
        <w:rPr>
          <w:rFonts w:eastAsia="宋体" w:cs="Times New Roman"/>
        </w:rPr>
      </w:pPr>
      <w:r>
        <w:rPr>
          <w:rFonts w:hint="eastAsia" w:eastAsia="宋体" w:cs="Times New Roman"/>
        </w:rPr>
        <w:t>乌海银行将自然相关约束要求纳入信贷政策与客户准入标准，</w:t>
      </w:r>
      <w:r>
        <w:rPr>
          <w:rFonts w:eastAsia="宋体" w:cs="Times New Roman"/>
        </w:rPr>
        <w:t>将</w:t>
      </w:r>
      <w:r>
        <w:rPr>
          <w:rFonts w:hint="eastAsia" w:eastAsia="宋体" w:cs="Times New Roman"/>
        </w:rPr>
        <w:t>企业环保</w:t>
      </w:r>
      <w:r>
        <w:rPr>
          <w:rFonts w:eastAsia="宋体" w:cs="Times New Roman"/>
        </w:rPr>
        <w:t>合规情况、资源利用效率</w:t>
      </w:r>
      <w:r>
        <w:rPr>
          <w:rFonts w:hint="eastAsia" w:eastAsia="宋体" w:cs="Times New Roman"/>
        </w:rPr>
        <w:t>、节能减排水平及</w:t>
      </w:r>
      <w:r>
        <w:rPr>
          <w:rFonts w:eastAsia="宋体" w:cs="Times New Roman"/>
        </w:rPr>
        <w:t>潜在生态影响</w:t>
      </w:r>
      <w:r>
        <w:rPr>
          <w:rFonts w:hint="eastAsia" w:eastAsia="宋体" w:cs="Times New Roman"/>
        </w:rPr>
        <w:t>作为授信</w:t>
      </w:r>
      <w:r>
        <w:rPr>
          <w:rFonts w:eastAsia="宋体" w:cs="Times New Roman"/>
        </w:rPr>
        <w:t>评估的重要</w:t>
      </w:r>
      <w:r>
        <w:rPr>
          <w:rFonts w:hint="eastAsia" w:eastAsia="宋体" w:cs="Times New Roman"/>
        </w:rPr>
        <w:t>依据</w:t>
      </w:r>
      <w:r>
        <w:rPr>
          <w:rFonts w:eastAsia="宋体" w:cs="Times New Roman"/>
        </w:rPr>
        <w:t>。对于高污染、高</w:t>
      </w:r>
      <w:r>
        <w:rPr>
          <w:rFonts w:hint="eastAsia" w:eastAsia="宋体" w:cs="Times New Roman"/>
        </w:rPr>
        <w:t>耗能、高资源消耗及不符合国家产业政策的项目，坚持</w:t>
      </w:r>
      <w:r>
        <w:rPr>
          <w:rFonts w:eastAsia="宋体" w:cs="Times New Roman"/>
        </w:rPr>
        <w:t>审慎准入与</w:t>
      </w:r>
      <w:r>
        <w:rPr>
          <w:rFonts w:hint="eastAsia" w:eastAsia="宋体" w:cs="Times New Roman"/>
        </w:rPr>
        <w:t>风险压降</w:t>
      </w:r>
      <w:r>
        <w:rPr>
          <w:rFonts w:eastAsia="宋体" w:cs="Times New Roman"/>
        </w:rPr>
        <w:t>；</w:t>
      </w:r>
      <w:r>
        <w:rPr>
          <w:rFonts w:hint="eastAsia" w:eastAsia="宋体" w:cs="Times New Roman"/>
        </w:rPr>
        <w:t>对</w:t>
      </w:r>
      <w:r>
        <w:rPr>
          <w:rFonts w:eastAsia="宋体" w:cs="Times New Roman"/>
        </w:rPr>
        <w:t>于符合绿色发展方向的</w:t>
      </w:r>
      <w:r>
        <w:rPr>
          <w:rFonts w:hint="eastAsia" w:eastAsia="宋体" w:cs="Times New Roman"/>
        </w:rPr>
        <w:t>太阳能发电、污水处理及其再生利用、绿色建筑、节能环保</w:t>
      </w:r>
      <w:r>
        <w:rPr>
          <w:rFonts w:eastAsia="宋体" w:cs="Times New Roman"/>
        </w:rPr>
        <w:t>项目，给予优先支持和资源倾斜。通过在业务源头进行筛选与引导，逐步优化信贷结构，降低潜在环境合规风险和</w:t>
      </w:r>
      <w:r>
        <w:rPr>
          <w:rFonts w:hint="eastAsia" w:eastAsia="宋体" w:cs="Times New Roman"/>
        </w:rPr>
        <w:t>行业</w:t>
      </w:r>
      <w:r>
        <w:rPr>
          <w:rFonts w:eastAsia="宋体" w:cs="Times New Roman"/>
        </w:rPr>
        <w:t>集中暴露风险。</w:t>
      </w:r>
    </w:p>
    <w:p w14:paraId="7A4B4596">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（2）强化全流程管理，提升风险动态管控能力</w:t>
      </w:r>
    </w:p>
    <w:p w14:paraId="5BB144D9">
      <w:pPr>
        <w:spacing w:after="120"/>
        <w:ind w:firstLine="560"/>
        <w:rPr>
          <w:rFonts w:eastAsia="宋体" w:cs="Times New Roman"/>
        </w:rPr>
      </w:pPr>
      <w:r>
        <w:rPr>
          <w:rFonts w:hint="eastAsia" w:eastAsia="宋体" w:cs="Times New Roman"/>
        </w:rPr>
        <w:t>乌海银行</w:t>
      </w:r>
      <w:r>
        <w:rPr>
          <w:rFonts w:eastAsia="宋体" w:cs="Times New Roman"/>
        </w:rPr>
        <w:t>将自然相关风险管理要求嵌入贷前、贷中及贷后各环节，</w:t>
      </w:r>
      <w:r>
        <w:rPr>
          <w:rFonts w:hint="eastAsia" w:eastAsia="宋体" w:cs="Times New Roman"/>
        </w:rPr>
        <w:t>逐步</w:t>
      </w:r>
      <w:r>
        <w:rPr>
          <w:rFonts w:eastAsia="宋体" w:cs="Times New Roman"/>
        </w:rPr>
        <w:t>形成贯穿全流程的风险管控闭环。在贷前阶段，重点核查客户环保合规情况</w:t>
      </w:r>
      <w:r>
        <w:rPr>
          <w:rFonts w:hint="eastAsia" w:eastAsia="宋体" w:cs="Times New Roman"/>
        </w:rPr>
        <w:t>、环境合规记录</w:t>
      </w:r>
      <w:r>
        <w:rPr>
          <w:rFonts w:eastAsia="宋体" w:cs="Times New Roman"/>
        </w:rPr>
        <w:t>及项目环境影响</w:t>
      </w:r>
      <w:r>
        <w:rPr>
          <w:rFonts w:hint="eastAsia" w:eastAsia="宋体" w:cs="Times New Roman"/>
        </w:rPr>
        <w:t>情况</w:t>
      </w:r>
      <w:r>
        <w:rPr>
          <w:rFonts w:eastAsia="宋体" w:cs="Times New Roman"/>
        </w:rPr>
        <w:t>，必要时结合现场调查加强</w:t>
      </w:r>
      <w:r>
        <w:rPr>
          <w:rFonts w:hint="eastAsia" w:eastAsia="宋体" w:cs="Times New Roman"/>
        </w:rPr>
        <w:t>风险识别</w:t>
      </w:r>
      <w:r>
        <w:rPr>
          <w:rFonts w:eastAsia="宋体" w:cs="Times New Roman"/>
        </w:rPr>
        <w:t>；在审批阶段，强化对</w:t>
      </w:r>
      <w:r>
        <w:rPr>
          <w:rFonts w:hint="eastAsia" w:eastAsia="宋体" w:cs="Times New Roman"/>
        </w:rPr>
        <w:t>环保设施建设、</w:t>
      </w:r>
      <w:r>
        <w:rPr>
          <w:rFonts w:eastAsia="宋体" w:cs="Times New Roman"/>
        </w:rPr>
        <w:t>风险缓释措施</w:t>
      </w:r>
      <w:r>
        <w:rPr>
          <w:rFonts w:hint="eastAsia" w:eastAsia="宋体" w:cs="Times New Roman"/>
        </w:rPr>
        <w:t>及项目环境可持续性</w:t>
      </w:r>
      <w:r>
        <w:rPr>
          <w:rFonts w:eastAsia="宋体" w:cs="Times New Roman"/>
        </w:rPr>
        <w:t>的</w:t>
      </w:r>
      <w:r>
        <w:rPr>
          <w:rFonts w:hint="eastAsia" w:eastAsia="宋体" w:cs="Times New Roman"/>
        </w:rPr>
        <w:t>评估</w:t>
      </w:r>
      <w:r>
        <w:rPr>
          <w:rFonts w:eastAsia="宋体" w:cs="Times New Roman"/>
        </w:rPr>
        <w:t>，</w:t>
      </w:r>
      <w:r>
        <w:rPr>
          <w:rFonts w:hint="eastAsia" w:eastAsia="宋体" w:cs="Times New Roman"/>
        </w:rPr>
        <w:t>对环保工程未按要求建设或存在重大环境风险隐患的项目审慎提供融资支持，</w:t>
      </w:r>
      <w:r>
        <w:rPr>
          <w:rFonts w:eastAsia="宋体" w:cs="Times New Roman"/>
        </w:rPr>
        <w:t>确保项目具备基本抗风险能力；在贷后阶段，持续跟踪客户经营与环境表现变化，结合数字化工具开展动态监测，对潜在风险客户提前采取调整授信、优化结构等措施，</w:t>
      </w:r>
      <w:r>
        <w:rPr>
          <w:rFonts w:hint="eastAsia" w:eastAsia="宋体" w:cs="Times New Roman"/>
        </w:rPr>
        <w:t>提升风险前瞻识别与动态管控能力</w:t>
      </w:r>
      <w:r>
        <w:rPr>
          <w:rFonts w:eastAsia="宋体" w:cs="Times New Roman"/>
        </w:rPr>
        <w:t>。</w:t>
      </w:r>
    </w:p>
    <w:p w14:paraId="2C7282B1">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（3）丰富</w:t>
      </w:r>
      <w:r>
        <w:rPr>
          <w:rFonts w:hint="eastAsia" w:eastAsia="宋体" w:cs="Times New Roman"/>
          <w:b/>
          <w:bCs/>
          <w:color w:val="0F1115"/>
          <w:szCs w:val="28"/>
          <w:shd w:val="clear" w:color="auto" w:fill="FFFFFF"/>
        </w:rPr>
        <w:t>绿色金融产品与风</w:t>
      </w:r>
      <w:r>
        <w:rPr>
          <w:rFonts w:eastAsia="宋体" w:cs="Times New Roman"/>
          <w:b/>
          <w:bCs/>
          <w:color w:val="0F1115"/>
          <w:szCs w:val="28"/>
          <w:shd w:val="clear" w:color="auto" w:fill="FFFFFF"/>
        </w:rPr>
        <w:t>险缓释工具，引导绿色资金投向</w:t>
      </w:r>
    </w:p>
    <w:p w14:paraId="1E5CB458">
      <w:pPr>
        <w:spacing w:after="120"/>
        <w:ind w:firstLine="560"/>
        <w:rPr>
          <w:rFonts w:eastAsia="宋体" w:cs="Times New Roman"/>
        </w:rPr>
      </w:pPr>
      <w:r>
        <w:rPr>
          <w:rFonts w:eastAsia="宋体" w:cs="Times New Roman"/>
        </w:rPr>
        <w:t>结合</w:t>
      </w:r>
      <w:r>
        <w:rPr>
          <w:rFonts w:hint="eastAsia" w:eastAsia="宋体" w:cs="Times New Roman"/>
        </w:rPr>
        <w:t>区域绿色转型及产业升级需求</w:t>
      </w:r>
      <w:r>
        <w:rPr>
          <w:rFonts w:eastAsia="宋体" w:cs="Times New Roman"/>
        </w:rPr>
        <w:t>，</w:t>
      </w:r>
      <w:r>
        <w:rPr>
          <w:rFonts w:hint="eastAsia" w:eastAsia="宋体" w:cs="Times New Roman"/>
        </w:rPr>
        <w:t>乌海银行</w:t>
      </w:r>
      <w:r>
        <w:rPr>
          <w:rFonts w:eastAsia="宋体" w:cs="Times New Roman"/>
        </w:rPr>
        <w:t>持续</w:t>
      </w:r>
      <w:r>
        <w:rPr>
          <w:rFonts w:hint="eastAsia" w:eastAsia="宋体" w:cs="Times New Roman"/>
        </w:rPr>
        <w:t>丰富绿色金融产品和服务体系，积极推动金融资源向节能环保、污染治理、清洁能源及绿色低碳产业倾斜。围绕绿色项目建设及运营需求，灵活运用流动资金贷款、项目贷款、设备融资等方式，满足不同阶段绿色企业融资需求。</w:t>
      </w:r>
      <w:r>
        <w:rPr>
          <w:rFonts w:eastAsia="宋体" w:cs="Times New Roman"/>
        </w:rPr>
        <w:t>同时，</w:t>
      </w:r>
      <w:r>
        <w:rPr>
          <w:rFonts w:hint="eastAsia" w:eastAsia="宋体" w:cs="Times New Roman"/>
        </w:rPr>
        <w:t>乌海银行</w:t>
      </w:r>
      <w:r>
        <w:rPr>
          <w:rFonts w:eastAsia="宋体" w:cs="Times New Roman"/>
        </w:rPr>
        <w:t>积极</w:t>
      </w:r>
      <w:r>
        <w:rPr>
          <w:rFonts w:hint="eastAsia" w:eastAsia="宋体" w:cs="Times New Roman"/>
        </w:rPr>
        <w:t>探索环境绩效与金融服务相结合，通过差异化利率政策、绿色审批通道及专项融资支持，引导客户提升环境管理和资源利用水平。针对自然灾害、环境合规及项目运营等风险，积极引入</w:t>
      </w:r>
      <w:r>
        <w:rPr>
          <w:rFonts w:eastAsia="宋体" w:cs="Times New Roman"/>
        </w:rPr>
        <w:t>保险、担保等风险分担工具，</w:t>
      </w:r>
      <w:r>
        <w:rPr>
          <w:rFonts w:hint="eastAsia" w:eastAsia="宋体" w:cs="Times New Roman"/>
        </w:rPr>
        <w:t>增强资产组合抗风险能力，提升绿色金融业务的环境与经济综合效益。</w:t>
      </w:r>
    </w:p>
    <w:p w14:paraId="766FC119">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（4）支持客户</w:t>
      </w:r>
      <w:r>
        <w:rPr>
          <w:rFonts w:hint="eastAsia" w:eastAsia="宋体" w:cs="Times New Roman"/>
          <w:b/>
          <w:bCs/>
          <w:color w:val="0F1115"/>
          <w:szCs w:val="28"/>
          <w:shd w:val="clear" w:color="auto" w:fill="FFFFFF"/>
        </w:rPr>
        <w:t>绿色</w:t>
      </w:r>
      <w:r>
        <w:rPr>
          <w:rFonts w:eastAsia="宋体" w:cs="Times New Roman"/>
          <w:b/>
          <w:bCs/>
          <w:color w:val="0F1115"/>
          <w:szCs w:val="28"/>
          <w:shd w:val="clear" w:color="auto" w:fill="FFFFFF"/>
        </w:rPr>
        <w:t>转型发展，降低</w:t>
      </w:r>
      <w:r>
        <w:rPr>
          <w:rFonts w:hint="eastAsia" w:eastAsia="宋体" w:cs="Times New Roman"/>
          <w:b/>
          <w:bCs/>
          <w:color w:val="0F1115"/>
          <w:szCs w:val="28"/>
          <w:shd w:val="clear" w:color="auto" w:fill="FFFFFF"/>
        </w:rPr>
        <w:t>长期</w:t>
      </w:r>
      <w:r>
        <w:rPr>
          <w:rFonts w:eastAsia="宋体" w:cs="Times New Roman"/>
          <w:b/>
          <w:bCs/>
          <w:color w:val="0F1115"/>
          <w:szCs w:val="28"/>
          <w:shd w:val="clear" w:color="auto" w:fill="FFFFFF"/>
        </w:rPr>
        <w:t>信用风险</w:t>
      </w:r>
    </w:p>
    <w:p w14:paraId="59FDA0FC">
      <w:pPr>
        <w:spacing w:after="120"/>
        <w:ind w:firstLine="560"/>
        <w:rPr>
          <w:rFonts w:eastAsia="宋体" w:cs="Times New Roman"/>
        </w:rPr>
      </w:pPr>
      <w:r>
        <w:rPr>
          <w:rFonts w:hint="eastAsia" w:eastAsia="宋体" w:cs="Times New Roman"/>
        </w:rPr>
        <w:t>乌海银行</w:t>
      </w:r>
      <w:r>
        <w:rPr>
          <w:rFonts w:eastAsia="宋体" w:cs="Times New Roman"/>
        </w:rPr>
        <w:t>将客户</w:t>
      </w:r>
      <w:r>
        <w:rPr>
          <w:rFonts w:hint="eastAsia" w:eastAsia="宋体" w:cs="Times New Roman"/>
        </w:rPr>
        <w:t>绿色</w:t>
      </w:r>
      <w:r>
        <w:rPr>
          <w:rFonts w:eastAsia="宋体" w:cs="Times New Roman"/>
        </w:rPr>
        <w:t>转型能力视为风险缓释的重要来源，通过</w:t>
      </w:r>
      <w:r>
        <w:rPr>
          <w:rFonts w:hint="eastAsia" w:eastAsia="宋体" w:cs="Times New Roman"/>
        </w:rPr>
        <w:t>“</w:t>
      </w:r>
      <w:r>
        <w:rPr>
          <w:rFonts w:eastAsia="宋体" w:cs="Times New Roman"/>
        </w:rPr>
        <w:t>融资+服务</w:t>
      </w:r>
      <w:r>
        <w:rPr>
          <w:rFonts w:hint="eastAsia" w:eastAsia="宋体" w:cs="Times New Roman"/>
        </w:rPr>
        <w:t>”模式</w:t>
      </w:r>
      <w:r>
        <w:rPr>
          <w:rFonts w:eastAsia="宋体" w:cs="Times New Roman"/>
        </w:rPr>
        <w:t>支持</w:t>
      </w:r>
      <w:r>
        <w:rPr>
          <w:rFonts w:hint="eastAsia" w:eastAsia="宋体" w:cs="Times New Roman"/>
        </w:rPr>
        <w:t>企业开展节能减排、技术改造及绿色升级。围绕节能环保、清洁能源及资源循环利用等重点方向，加大对重大技术改造、产业升级及设备更新项目的支持力度，推动传统行业绿色转型发展。同时乌海银行积极支持国家及地方重点产业项目及绿色创新项目，对符合国家绿色低碳导向、具备良好市场前景的企业给予优先支持，帮助客户提升市场竞争力与抗风险能力，</w:t>
      </w:r>
      <w:r>
        <w:rPr>
          <w:rFonts w:eastAsia="宋体" w:cs="Times New Roman"/>
        </w:rPr>
        <w:t>从源头降低信用风险发生概率。</w:t>
      </w:r>
    </w:p>
    <w:p w14:paraId="1FAD6AD6">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（5）加强专业能力建设，夯实风险管理基础</w:t>
      </w:r>
    </w:p>
    <w:p w14:paraId="71557625">
      <w:pPr>
        <w:spacing w:after="120"/>
        <w:ind w:firstLine="560"/>
        <w:rPr>
          <w:rFonts w:eastAsia="宋体" w:cs="Times New Roman"/>
        </w:rPr>
      </w:pPr>
      <w:r>
        <w:rPr>
          <w:rFonts w:eastAsia="宋体" w:cs="Times New Roman"/>
        </w:rPr>
        <w:t>为</w:t>
      </w:r>
      <w:r>
        <w:rPr>
          <w:rFonts w:hint="eastAsia" w:eastAsia="宋体" w:cs="Times New Roman"/>
        </w:rPr>
        <w:t>推动</w:t>
      </w:r>
      <w:r>
        <w:rPr>
          <w:rFonts w:eastAsia="宋体" w:cs="Times New Roman"/>
        </w:rPr>
        <w:t>自然相关风险管理有效落地，</w:t>
      </w:r>
      <w:r>
        <w:rPr>
          <w:rFonts w:hint="eastAsia" w:eastAsia="宋体" w:cs="Times New Roman"/>
        </w:rPr>
        <w:t>乌海银行</w:t>
      </w:r>
      <w:r>
        <w:rPr>
          <w:rFonts w:eastAsia="宋体" w:cs="Times New Roman"/>
        </w:rPr>
        <w:t>持续加强专业能力建设，面向客户经理、</w:t>
      </w:r>
      <w:r>
        <w:rPr>
          <w:rFonts w:hint="eastAsia" w:eastAsia="宋体" w:cs="Times New Roman"/>
        </w:rPr>
        <w:t>授信</w:t>
      </w:r>
      <w:r>
        <w:rPr>
          <w:rFonts w:eastAsia="宋体" w:cs="Times New Roman"/>
        </w:rPr>
        <w:t>审批及风险管理人员开展</w:t>
      </w:r>
      <w:r>
        <w:rPr>
          <w:rFonts w:hint="eastAsia" w:eastAsia="宋体" w:cs="Times New Roman"/>
        </w:rPr>
        <w:t>绿色金融、环境风险及产业政策等方面的</w:t>
      </w:r>
      <w:r>
        <w:rPr>
          <w:rFonts w:eastAsia="宋体" w:cs="Times New Roman"/>
        </w:rPr>
        <w:t>常态化培训，重点提升对自然风险识别、政策理解及</w:t>
      </w:r>
      <w:r>
        <w:rPr>
          <w:rFonts w:hint="eastAsia" w:eastAsia="宋体" w:cs="Times New Roman"/>
        </w:rPr>
        <w:t>绿色项目评估</w:t>
      </w:r>
      <w:r>
        <w:rPr>
          <w:rFonts w:eastAsia="宋体" w:cs="Times New Roman"/>
        </w:rPr>
        <w:t>的能力。</w:t>
      </w:r>
      <w:r>
        <w:rPr>
          <w:rFonts w:hint="eastAsia" w:eastAsia="宋体" w:cs="Times New Roman"/>
        </w:rPr>
        <w:t>同时，乌海银行持续完善自然相关风险识别与评估工具，探索运用定性与定量相结合的方法开展自然相关风险分析，提升风险判断的</w:t>
      </w:r>
      <w:r>
        <w:rPr>
          <w:rFonts w:eastAsia="宋体" w:cs="Times New Roman"/>
        </w:rPr>
        <w:t>专业性与一致性，逐步形成覆盖</w:t>
      </w:r>
      <w:r>
        <w:rPr>
          <w:rFonts w:hint="eastAsia" w:eastAsia="宋体" w:cs="Times New Roman"/>
        </w:rPr>
        <w:t>风险</w:t>
      </w:r>
      <w:r>
        <w:rPr>
          <w:rFonts w:eastAsia="宋体" w:cs="Times New Roman"/>
        </w:rPr>
        <w:t>识别、评估</w:t>
      </w:r>
      <w:r>
        <w:rPr>
          <w:rFonts w:hint="eastAsia" w:eastAsia="宋体" w:cs="Times New Roman"/>
        </w:rPr>
        <w:t>、监测与</w:t>
      </w:r>
      <w:r>
        <w:rPr>
          <w:rFonts w:eastAsia="宋体" w:cs="Times New Roman"/>
        </w:rPr>
        <w:t>管控的综合能力体系，为绿色金融业务稳健发展提供支撑。</w:t>
      </w:r>
    </w:p>
    <w:p w14:paraId="350AAD4C">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（6）完善激励约束机制，提升</w:t>
      </w:r>
      <w:r>
        <w:rPr>
          <w:rFonts w:hint="eastAsia" w:eastAsia="宋体" w:cs="Times New Roman"/>
          <w:b/>
          <w:bCs/>
          <w:color w:val="0F1115"/>
          <w:szCs w:val="28"/>
          <w:shd w:val="clear" w:color="auto" w:fill="FFFFFF"/>
        </w:rPr>
        <w:t>绿色发展</w:t>
      </w:r>
      <w:r>
        <w:rPr>
          <w:rFonts w:eastAsia="宋体" w:cs="Times New Roman"/>
          <w:b/>
          <w:bCs/>
          <w:color w:val="0F1115"/>
          <w:szCs w:val="28"/>
          <w:shd w:val="clear" w:color="auto" w:fill="FFFFFF"/>
        </w:rPr>
        <w:t>执行</w:t>
      </w:r>
      <w:r>
        <w:rPr>
          <w:rFonts w:hint="eastAsia" w:eastAsia="宋体" w:cs="Times New Roman"/>
          <w:b/>
          <w:bCs/>
          <w:color w:val="0F1115"/>
          <w:szCs w:val="28"/>
          <w:shd w:val="clear" w:color="auto" w:fill="FFFFFF"/>
        </w:rPr>
        <w:t>力</w:t>
      </w:r>
    </w:p>
    <w:p w14:paraId="04D5ECD2">
      <w:pPr>
        <w:spacing w:after="120"/>
        <w:ind w:firstLine="560"/>
        <w:rPr>
          <w:rFonts w:eastAsia="宋体" w:cs="Times New Roman"/>
        </w:rPr>
      </w:pPr>
      <w:r>
        <w:rPr>
          <w:rFonts w:hint="eastAsia" w:eastAsia="宋体" w:cs="Times New Roman"/>
        </w:rPr>
        <w:t>乌海银行持续强化绿色金融顶层设计，</w:t>
      </w:r>
      <w:r>
        <w:rPr>
          <w:rFonts w:eastAsia="宋体" w:cs="Times New Roman"/>
        </w:rPr>
        <w:t>将绿色</w:t>
      </w:r>
      <w:r>
        <w:rPr>
          <w:rFonts w:hint="eastAsia" w:eastAsia="宋体" w:cs="Times New Roman"/>
        </w:rPr>
        <w:t>信贷</w:t>
      </w:r>
      <w:r>
        <w:rPr>
          <w:rFonts w:eastAsia="宋体" w:cs="Times New Roman"/>
        </w:rPr>
        <w:t>发展及</w:t>
      </w:r>
      <w:r>
        <w:rPr>
          <w:rFonts w:hint="eastAsia" w:eastAsia="宋体" w:cs="Times New Roman"/>
        </w:rPr>
        <w:t>绿色金融</w:t>
      </w:r>
      <w:r>
        <w:rPr>
          <w:rFonts w:eastAsia="宋体" w:cs="Times New Roman"/>
        </w:rPr>
        <w:t>相关指标纳入绩效考核体系，</w:t>
      </w:r>
      <w:r>
        <w:rPr>
          <w:rFonts w:hint="eastAsia" w:eastAsia="宋体" w:cs="Times New Roman"/>
        </w:rPr>
        <w:t>强化</w:t>
      </w:r>
      <w:r>
        <w:rPr>
          <w:rFonts w:eastAsia="宋体" w:cs="Times New Roman"/>
        </w:rPr>
        <w:t>对绿色信贷规模、结构优化及客户拓展等方面的导向作用。通过建立相应的激励与约束机制，引导</w:t>
      </w:r>
      <w:r>
        <w:rPr>
          <w:rFonts w:hint="eastAsia" w:eastAsia="宋体" w:cs="Times New Roman"/>
        </w:rPr>
        <w:t>各</w:t>
      </w:r>
      <w:r>
        <w:rPr>
          <w:rFonts w:eastAsia="宋体" w:cs="Times New Roman"/>
        </w:rPr>
        <w:t>业务条线主动落实</w:t>
      </w:r>
      <w:r>
        <w:rPr>
          <w:rFonts w:hint="eastAsia" w:eastAsia="宋体" w:cs="Times New Roman"/>
        </w:rPr>
        <w:t>环境与自然相关</w:t>
      </w:r>
      <w:r>
        <w:rPr>
          <w:rFonts w:eastAsia="宋体" w:cs="Times New Roman"/>
        </w:rPr>
        <w:t>风险管理要求，在推动绿色业务发展的同时，提升风险管理的主动性与执行力，确保</w:t>
      </w:r>
      <w:r>
        <w:rPr>
          <w:rFonts w:hint="eastAsia" w:eastAsia="宋体" w:cs="Times New Roman"/>
        </w:rPr>
        <w:t>绿色金融与风险管控要求</w:t>
      </w:r>
      <w:r>
        <w:rPr>
          <w:rFonts w:eastAsia="宋体" w:cs="Times New Roman"/>
        </w:rPr>
        <w:t>有效传导至</w:t>
      </w:r>
      <w:r>
        <w:rPr>
          <w:rFonts w:hint="eastAsia" w:eastAsia="宋体" w:cs="Times New Roman"/>
        </w:rPr>
        <w:t>经营</w:t>
      </w:r>
      <w:r>
        <w:rPr>
          <w:rFonts w:eastAsia="宋体" w:cs="Times New Roman"/>
        </w:rPr>
        <w:t>一线。</w:t>
      </w:r>
    </w:p>
    <w:p w14:paraId="5171AA73">
      <w:pPr>
        <w:shd w:val="clear" w:color="auto" w:fill="FFFFFF"/>
        <w:snapToGrid/>
        <w:ind w:firstLine="562"/>
        <w:rPr>
          <w:rFonts w:eastAsia="宋体" w:cs="Times New Roman"/>
          <w:b/>
          <w:bCs/>
          <w:color w:val="0F1115"/>
          <w:szCs w:val="28"/>
          <w:shd w:val="clear" w:color="auto" w:fill="FFFFFF"/>
        </w:rPr>
      </w:pPr>
      <w:r>
        <w:rPr>
          <w:rFonts w:eastAsia="宋体" w:cs="Times New Roman"/>
          <w:b/>
          <w:bCs/>
          <w:color w:val="0F1115"/>
          <w:szCs w:val="28"/>
          <w:shd w:val="clear" w:color="auto" w:fill="FFFFFF"/>
        </w:rPr>
        <w:t>（7）聚焦重点行业，实施差异化风险缓释策略</w:t>
      </w:r>
    </w:p>
    <w:p w14:paraId="0F5C407C">
      <w:pPr>
        <w:spacing w:after="120"/>
        <w:ind w:firstLine="560"/>
        <w:rPr>
          <w:rFonts w:eastAsia="宋体" w:cs="Times New Roman"/>
        </w:rPr>
      </w:pPr>
      <w:r>
        <w:rPr>
          <w:rFonts w:eastAsia="宋体" w:cs="Times New Roman"/>
        </w:rPr>
        <w:t>针对</w:t>
      </w:r>
      <w:r>
        <w:rPr>
          <w:rFonts w:hint="eastAsia" w:eastAsia="宋体" w:cs="Times New Roman"/>
        </w:rPr>
        <w:t>绿色信贷资产中污水处理及其再生利用、住宅房屋建筑、太阳能发电、危险废物治理</w:t>
      </w:r>
      <w:r>
        <w:rPr>
          <w:rFonts w:eastAsia="宋体" w:cs="Times New Roman"/>
        </w:rPr>
        <w:t>等对自然</w:t>
      </w:r>
      <w:r>
        <w:rPr>
          <w:rFonts w:hint="eastAsia" w:eastAsia="宋体" w:cs="Times New Roman"/>
        </w:rPr>
        <w:t>影响或</w:t>
      </w:r>
      <w:r>
        <w:rPr>
          <w:rFonts w:eastAsia="宋体" w:cs="Times New Roman"/>
        </w:rPr>
        <w:t>依赖程度较高的行业，</w:t>
      </w:r>
      <w:r>
        <w:rPr>
          <w:rFonts w:hint="eastAsia" w:eastAsia="宋体" w:cs="Times New Roman"/>
        </w:rPr>
        <w:t>乌海银行</w:t>
      </w:r>
      <w:r>
        <w:rPr>
          <w:rFonts w:eastAsia="宋体" w:cs="Times New Roman"/>
        </w:rPr>
        <w:t>结合</w:t>
      </w:r>
      <w:r>
        <w:rPr>
          <w:rFonts w:hint="eastAsia" w:eastAsia="宋体" w:cs="Times New Roman"/>
        </w:rPr>
        <w:t>行业</w:t>
      </w:r>
      <w:r>
        <w:rPr>
          <w:rFonts w:eastAsia="宋体" w:cs="Times New Roman"/>
        </w:rPr>
        <w:t>特点</w:t>
      </w:r>
      <w:r>
        <w:rPr>
          <w:rFonts w:hint="eastAsia" w:eastAsia="宋体" w:cs="Times New Roman"/>
        </w:rPr>
        <w:t>及区域生态环境特征，</w:t>
      </w:r>
      <w:r>
        <w:rPr>
          <w:rFonts w:eastAsia="宋体" w:cs="Times New Roman"/>
        </w:rPr>
        <w:t>制定差异化管理措施。例如，对</w:t>
      </w:r>
      <w:r>
        <w:rPr>
          <w:rFonts w:hint="eastAsia" w:eastAsia="宋体" w:cs="Times New Roman"/>
        </w:rPr>
        <w:t>污水处理及其再生利用</w:t>
      </w:r>
      <w:r>
        <w:rPr>
          <w:rFonts w:eastAsia="宋体" w:cs="Times New Roman"/>
        </w:rPr>
        <w:t>类客户重点关注</w:t>
      </w:r>
      <w:r>
        <w:rPr>
          <w:rFonts w:hint="eastAsia" w:eastAsia="宋体" w:cs="Times New Roman"/>
        </w:rPr>
        <w:t>项目合规运营情况、再生水利用效率及污泥处置能力，优先支持运营规范、资源循环利用能力较强的项目。在贷后管理中，持续跟踪项目运营效率、水资源利用情况及环保政策变化，降低因环保整改或运营异常带来的信用风险</w:t>
      </w:r>
      <w:r>
        <w:rPr>
          <w:rFonts w:eastAsia="宋体" w:cs="Times New Roman"/>
        </w:rPr>
        <w:t>；</w:t>
      </w:r>
      <w:r>
        <w:rPr>
          <w:rFonts w:hint="eastAsia" w:eastAsia="宋体" w:cs="Times New Roman"/>
        </w:rPr>
        <w:t>对住宅房屋建筑类客户重点关注项目选址、生态环境约束、水资源承载能力及绿色建筑标准落实情况，优先支持符合绿色低碳导向及节能节水要求的建设项目；对太阳能发电行业重点关注项目建设质量、并网消纳能力、设备稳定运行及现金流回收情况，优先支持技术成熟、运营稳定及环境效益良好的新能源项目；对危险废物治理类客户，乌海银行重点关注企业危险废物处置资质、环保设施运行情况及环境风险防控能力，强化对项目环境合规性及安全运营水平的审查，持续跟踪企业环保记录、运营管理情况及政策变化，对存在重大环境违规或安全隐患的项目及时采取风险缓释措施。</w:t>
      </w:r>
      <w:r>
        <w:rPr>
          <w:rFonts w:eastAsia="宋体" w:cs="Times New Roman"/>
        </w:rPr>
        <w:t>在此基础上，通过支持产业链延伸、加工流通及配套服务发展，提升客户整体经营韧性，实现风险缓释与业务发展的良性循环。</w:t>
      </w:r>
      <w:bookmarkStart w:id="201" w:name="_Toc19705"/>
      <w:bookmarkStart w:id="202" w:name="_Toc9919"/>
    </w:p>
    <w:p w14:paraId="6F0CEE5D">
      <w:pPr>
        <w:ind w:firstLine="0" w:firstLineChars="0"/>
        <w:jc w:val="center"/>
        <w:rPr>
          <w:rFonts w:eastAsia="宋体" w:cs="Times New Roman"/>
          <w:b/>
          <w:bCs/>
          <w:sz w:val="24"/>
          <w:szCs w:val="21"/>
        </w:rPr>
      </w:pPr>
      <w:r>
        <w:rPr>
          <w:rFonts w:hint="eastAsia" w:eastAsia="宋体" w:cs="Times New Roman"/>
          <w:b/>
          <w:bCs/>
          <w:sz w:val="24"/>
          <w:szCs w:val="21"/>
        </w:rPr>
        <w:t>表</w:t>
      </w:r>
      <w:r>
        <w:rPr>
          <w:rFonts w:eastAsia="宋体" w:cs="Times New Roman"/>
          <w:b/>
          <w:bCs/>
          <w:sz w:val="24"/>
          <w:szCs w:val="21"/>
        </w:rPr>
        <w:t xml:space="preserve">8. </w:t>
      </w:r>
      <w:r>
        <w:rPr>
          <w:rFonts w:hint="eastAsia" w:eastAsia="宋体" w:cs="Times New Roman"/>
          <w:b/>
          <w:bCs/>
          <w:sz w:val="24"/>
          <w:szCs w:val="21"/>
        </w:rPr>
        <w:t>重点行业差异化风险缓释策略</w:t>
      </w:r>
    </w:p>
    <w:tbl>
      <w:tblPr>
        <w:tblStyle w:val="10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6863"/>
        <w:tblGridChange w:id="0">
          <w:tblGrid>
            <w:gridCol w:w="1621"/>
            <w:gridCol w:w="38"/>
            <w:gridCol w:w="6637"/>
          </w:tblGrid>
        </w:tblGridChange>
      </w:tblGrid>
      <w:tr w14:paraId="0C6A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659" w:type="dxa"/>
            <w:tcBorders>
              <w:bottom w:val="single" w:color="F4B083" w:sz="4" w:space="0"/>
              <w:tl2br w:val="nil"/>
              <w:tr2bl w:val="nil"/>
            </w:tcBorders>
            <w:vAlign w:val="center"/>
          </w:tcPr>
          <w:p w14:paraId="6A351AAD">
            <w:pPr>
              <w:snapToGrid/>
              <w:spacing w:line="240" w:lineRule="auto"/>
              <w:ind w:firstLine="0" w:firstLineChars="0"/>
              <w:jc w:val="center"/>
              <w:rPr>
                <w:rFonts w:eastAsia="宋体" w:cs="Times New Roman"/>
                <w:b w:val="0"/>
                <w:bCs w:val="0"/>
                <w:sz w:val="24"/>
                <w:szCs w:val="24"/>
              </w:rPr>
            </w:pPr>
            <w:r>
              <w:rPr>
                <w:rFonts w:hint="eastAsia" w:eastAsia="宋体" w:cs="Times New Roman"/>
                <w:b/>
                <w:bCs/>
                <w:sz w:val="24"/>
                <w:szCs w:val="24"/>
              </w:rPr>
              <w:t>污水处理及其再生利用</w:t>
            </w:r>
          </w:p>
        </w:tc>
        <w:tc>
          <w:tcPr>
            <w:tcW w:w="6863" w:type="dxa"/>
            <w:tcBorders>
              <w:bottom w:val="single" w:color="F4B083" w:sz="4" w:space="0"/>
              <w:tl2br w:val="nil"/>
              <w:tr2bl w:val="nil"/>
            </w:tcBorders>
            <w:vAlign w:val="center"/>
          </w:tcPr>
          <w:p w14:paraId="5322C67D">
            <w:pPr>
              <w:ind w:firstLine="480"/>
              <w:rPr>
                <w:rFonts w:eastAsia="宋体" w:cs="Times New Roman"/>
                <w:b w:val="0"/>
                <w:bCs w:val="0"/>
                <w:sz w:val="24"/>
                <w:szCs w:val="24"/>
              </w:rPr>
            </w:pPr>
            <w:r>
              <w:rPr>
                <w:rFonts w:hint="eastAsia" w:eastAsia="宋体" w:cs="Times New Roman"/>
                <w:b w:val="0"/>
                <w:bCs w:val="0"/>
                <w:sz w:val="24"/>
                <w:szCs w:val="24"/>
              </w:rPr>
              <w:t>污水处理及其再生利用行业对水资源供给、区域生态环境容量及环保基础设施稳定运行具有较强依赖性，同时在运营过程中涉及能源消耗、污泥处置及污染物排放管理等环境影响因素。随着黄河流域生态保护、水资源节约集约利用及污染治理要求持续提升，行业面临环保标准趋严、运营成本增加及技术升级压力。针对上述特点，乌海银行在风险管理中更加注重环境合规与运营稳定并重，在准入阶段重点关注企业污水处理资质、环保设施运行情况、再生水利用能力及污染物排放达标情况，优先支持资源循环利用能力较强、环境绩效较好的项目。在贷后管理中，持续跟踪项目运营效率、水资源利用情况及环保政策变化，强化对环保整改、运营异常及现金流波动等风险的动态监测。同时，积极支持污水资源化利用、节水改造及环保技术升级项目，引导行业向绿色化、循环化方向发展，从源头降低环境风险向信用风险传导。</w:t>
            </w:r>
          </w:p>
        </w:tc>
      </w:tr>
      <w:tr w14:paraId="0654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59" w:type="dxa"/>
            <w:tcBorders>
              <w:tl2br w:val="nil"/>
              <w:tr2bl w:val="nil"/>
            </w:tcBorders>
            <w:vAlign w:val="center"/>
          </w:tcPr>
          <w:p w14:paraId="0286E796">
            <w:pPr>
              <w:snapToGrid/>
              <w:spacing w:line="240" w:lineRule="auto"/>
              <w:ind w:firstLine="0" w:firstLineChars="0"/>
              <w:jc w:val="center"/>
              <w:rPr>
                <w:rFonts w:eastAsia="宋体" w:cs="Times New Roman"/>
                <w:b/>
                <w:bCs/>
                <w:sz w:val="24"/>
                <w:szCs w:val="24"/>
              </w:rPr>
            </w:pPr>
            <w:r>
              <w:rPr>
                <w:rFonts w:hint="eastAsia" w:eastAsia="宋体" w:cs="Times New Roman"/>
                <w:b/>
                <w:bCs/>
                <w:sz w:val="24"/>
                <w:szCs w:val="24"/>
              </w:rPr>
              <w:t>住宅房屋建筑</w:t>
            </w:r>
          </w:p>
        </w:tc>
        <w:tc>
          <w:tcPr>
            <w:tcW w:w="6863" w:type="dxa"/>
            <w:tcBorders>
              <w:tl2br w:val="nil"/>
              <w:tr2bl w:val="nil"/>
            </w:tcBorders>
            <w:vAlign w:val="center"/>
          </w:tcPr>
          <w:p w14:paraId="30906A84">
            <w:pPr>
              <w:ind w:firstLine="480"/>
              <w:rPr>
                <w:rFonts w:eastAsia="宋体" w:cs="Times New Roman"/>
                <w:sz w:val="24"/>
                <w:szCs w:val="24"/>
              </w:rPr>
            </w:pPr>
            <w:r>
              <w:rPr>
                <w:rFonts w:hint="eastAsia" w:eastAsia="宋体" w:cs="Times New Roman"/>
                <w:sz w:val="24"/>
                <w:szCs w:val="24"/>
              </w:rPr>
              <w:t>住宅房屋建筑行业对土地资源、水资源及区域生态环境承载能力具有较强依赖性，同时在开发建设过程中涉及能源消耗、建筑废弃物排放及生态环境扰动等环境影响。受绿色建筑标准提升、节能减排要求及生态保护红线等因素影响，行业在项目开发、建设及运营阶段面临较强政策和环境约束。针对这一特点，乌海银行在授信准入阶段重点关注项目选址是否涉及生态敏感区域、水资源承载能力不足地区及自然灾害高风险区域，审慎开展授信评估；在项目评审过程中，将绿色建筑标准、节能节水设计、绿色建材应用及环境影响控制措施纳入重点考量，优先支持符合绿色低碳导向的建设项目。在贷后管理中，持续跟踪项目建设进度、销售回款及区域政策变化情况，动态评估市场波动及环境约束趋严带来的潜在风险。同时，引导房地产企业提升绿色开发及资源高效利用能力，推动项目节能改造与低碳运营，增强项目长期抗风险能力。</w:t>
            </w:r>
          </w:p>
        </w:tc>
      </w:tr>
      <w:tr w14:paraId="0EBD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59" w:type="dxa"/>
            <w:tcBorders>
              <w:tl2br w:val="nil"/>
              <w:tr2bl w:val="nil"/>
            </w:tcBorders>
            <w:vAlign w:val="center"/>
          </w:tcPr>
          <w:p w14:paraId="4CBB0AFC">
            <w:pPr>
              <w:snapToGrid/>
              <w:spacing w:line="240" w:lineRule="auto"/>
              <w:ind w:firstLine="0" w:firstLineChars="0"/>
              <w:jc w:val="center"/>
              <w:rPr>
                <w:rFonts w:eastAsia="宋体" w:cs="Times New Roman"/>
                <w:b/>
                <w:bCs/>
                <w:sz w:val="24"/>
                <w:szCs w:val="24"/>
              </w:rPr>
            </w:pPr>
            <w:r>
              <w:rPr>
                <w:rFonts w:hint="eastAsia" w:eastAsia="宋体" w:cs="Times New Roman"/>
                <w:b/>
                <w:bCs/>
                <w:sz w:val="24"/>
                <w:szCs w:val="24"/>
              </w:rPr>
              <w:t>太阳能发电</w:t>
            </w:r>
          </w:p>
        </w:tc>
        <w:tc>
          <w:tcPr>
            <w:tcW w:w="6863" w:type="dxa"/>
            <w:tcBorders>
              <w:tl2br w:val="nil"/>
              <w:tr2bl w:val="nil"/>
            </w:tcBorders>
            <w:vAlign w:val="center"/>
          </w:tcPr>
          <w:p w14:paraId="6921EE98">
            <w:pPr>
              <w:ind w:firstLine="480"/>
              <w:rPr>
                <w:rFonts w:eastAsia="宋体" w:cs="Times New Roman"/>
                <w:sz w:val="24"/>
                <w:szCs w:val="24"/>
              </w:rPr>
            </w:pPr>
            <w:r>
              <w:rPr>
                <w:rFonts w:hint="eastAsia" w:eastAsia="宋体" w:cs="Times New Roman"/>
                <w:sz w:val="24"/>
                <w:szCs w:val="24"/>
              </w:rPr>
              <w:t>太阳能发电行业对气候条件、光照资源及土地资源具有较高依赖性，同时在项目建设及运营过程中涉及土地利用、设备制造及资源消耗等环境影响。随着新能源产业快速发展，行业虽具备良好的绿色低碳属性，但也面临设备技术迭代、发电效率波动、并网消纳及政策调整等不确定性风险。针对上述特点，乌海银行重点关注项目选址、土地合规性、设备技术水平、发电稳定性及并网消纳能力，优先支持技术成熟、运营稳定、环境效益良好的新能源项目。在授信审批过程中，结合项目投资周期及现金流回收特点，合理优化融资期限结构和还款安排；在贷后管理中，持续跟踪项目发电效率、运营状况及新能源政策变化情况，强化对市场环境及收益波动风险的动态监测。同时，积极支持新能源配套设施建设及技术升级，推动绿色能源产业健康可持续发展。</w:t>
            </w:r>
          </w:p>
        </w:tc>
      </w:tr>
      <w:tr w14:paraId="0D39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659" w:type="dxa"/>
            <w:tcBorders>
              <w:tl2br w:val="nil"/>
              <w:tr2bl w:val="nil"/>
            </w:tcBorders>
            <w:vAlign w:val="center"/>
          </w:tcPr>
          <w:p w14:paraId="39EDD4B7">
            <w:pPr>
              <w:snapToGrid/>
              <w:spacing w:line="240" w:lineRule="auto"/>
              <w:ind w:firstLine="0" w:firstLineChars="0"/>
              <w:jc w:val="center"/>
              <w:rPr>
                <w:rFonts w:eastAsia="宋体" w:cs="Times New Roman"/>
                <w:b w:val="0"/>
                <w:bCs w:val="0"/>
                <w:sz w:val="24"/>
                <w:szCs w:val="24"/>
              </w:rPr>
            </w:pPr>
            <w:r>
              <w:rPr>
                <w:rFonts w:hint="eastAsia" w:eastAsia="宋体" w:cs="Times New Roman"/>
                <w:b/>
                <w:bCs/>
                <w:sz w:val="24"/>
                <w:szCs w:val="24"/>
              </w:rPr>
              <w:t>危险废物治理</w:t>
            </w:r>
          </w:p>
        </w:tc>
        <w:tc>
          <w:tcPr>
            <w:tcW w:w="6863" w:type="dxa"/>
            <w:tcBorders>
              <w:tl2br w:val="nil"/>
              <w:tr2bl w:val="nil"/>
            </w:tcBorders>
            <w:vAlign w:val="center"/>
          </w:tcPr>
          <w:p w14:paraId="66B40C42">
            <w:pPr>
              <w:ind w:firstLine="480"/>
              <w:rPr>
                <w:rFonts w:eastAsia="宋体" w:cs="Times New Roman"/>
                <w:sz w:val="24"/>
                <w:szCs w:val="24"/>
              </w:rPr>
            </w:pPr>
            <w:r>
              <w:rPr>
                <w:rFonts w:hint="eastAsia" w:eastAsia="宋体" w:cs="Times New Roman"/>
                <w:sz w:val="24"/>
                <w:szCs w:val="24"/>
              </w:rPr>
              <w:t>危险废物治理行业对环境安全、污染防控能力及规范化运营水平要求较高，在处置过程中涉及废弃物收集、运输、贮存及资源化利用等多个环节，若管理不当，可能对土壤、水体及生态环境造成较大影响。同时，该行业对环保政策、监管标准及专业技术能力具有较强依赖性。针对这一特点，乌海银行在风险管理中更加注重</w:t>
            </w:r>
            <w:r>
              <w:rPr>
                <w:rFonts w:hint="eastAsia" w:ascii="宋体" w:hAnsi="宋体" w:eastAsia="宋体" w:cs="宋体"/>
                <w:sz w:val="24"/>
                <w:szCs w:val="24"/>
              </w:rPr>
              <w:t>“安全运营与环境合规并重”</w:t>
            </w:r>
            <w:r>
              <w:rPr>
                <w:rFonts w:hint="eastAsia" w:eastAsia="宋体" w:cs="Times New Roman"/>
                <w:sz w:val="24"/>
                <w:szCs w:val="24"/>
              </w:rPr>
              <w:t>，在授信准入阶段重点关注企业危险废物经营资质、环保设施运行情况、安全生产管理及环境风险防控能力，优先支持管理规范、资源循环利用水平较高的项目。在项目评估过程中，加强对污染防治措施、环境应急能力及合规运营情况的审查；在贷后管理中，持续跟踪企业环保记录、运营管理及政策变化情况，对存在重大环境违规或安全隐患的项目及时采取风险缓释措施。同时，积极支持危险废物资源化利用及绿色循环经济项目发展，引导行业向规范化、减量化和资源化方向升级。</w:t>
            </w:r>
          </w:p>
        </w:tc>
      </w:tr>
    </w:tbl>
    <w:p w14:paraId="2AF371E6">
      <w:pPr>
        <w:snapToGrid/>
        <w:spacing w:line="240" w:lineRule="auto"/>
        <w:ind w:firstLine="560" w:firstLineChars="0"/>
        <w:jc w:val="left"/>
        <w:rPr>
          <w:rFonts w:eastAsia="宋体" w:cs="Times New Roman"/>
          <w:sz w:val="24"/>
          <w:szCs w:val="24"/>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5B8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3D7105DB">
            <w:pPr>
              <w:widowControl w:val="0"/>
              <w:snapToGrid/>
              <w:spacing w:after="200" w:line="276" w:lineRule="auto"/>
              <w:ind w:firstLine="0" w:firstLineChars="0"/>
              <w:rPr>
                <w:rFonts w:eastAsia="宋体" w:cs="Times New Roman"/>
                <w:b/>
                <w:bCs/>
                <w:color w:val="2E75B5"/>
                <w:sz w:val="24"/>
                <w:szCs w:val="28"/>
              </w:rPr>
            </w:pPr>
            <w:r>
              <w:rPr>
                <w:rFonts w:eastAsia="宋体" w:cs="Times New Roman"/>
                <w:b/>
                <w:bCs/>
                <w:color w:val="2E75B5"/>
                <w:sz w:val="24"/>
                <w:szCs w:val="28"/>
              </w:rPr>
              <w:t>案例：</w:t>
            </w:r>
            <w:r>
              <w:rPr>
                <w:rFonts w:hint="eastAsia" w:eastAsia="宋体" w:cs="Times New Roman"/>
                <w:b/>
                <w:bCs/>
                <w:color w:val="2E75B5"/>
                <w:sz w:val="24"/>
                <w:szCs w:val="28"/>
              </w:rPr>
              <w:t>创新</w:t>
            </w:r>
            <w:r>
              <w:rPr>
                <w:rFonts w:hint="eastAsia" w:ascii="宋体" w:hAnsi="宋体" w:eastAsia="宋体" w:cs="宋体"/>
                <w:b/>
                <w:bCs/>
                <w:color w:val="2E75B5"/>
                <w:sz w:val="24"/>
                <w:szCs w:val="28"/>
              </w:rPr>
              <w:t>“水权贷”</w:t>
            </w:r>
            <w:r>
              <w:rPr>
                <w:rFonts w:hint="eastAsia" w:eastAsia="宋体" w:cs="Times New Roman"/>
                <w:b/>
                <w:bCs/>
                <w:color w:val="2E75B5"/>
                <w:sz w:val="24"/>
                <w:szCs w:val="28"/>
              </w:rPr>
              <w:t>金融模式，推动水资源节约利用与绿色转型发展</w:t>
            </w:r>
          </w:p>
          <w:p w14:paraId="7367A198">
            <w:pPr>
              <w:widowControl w:val="0"/>
              <w:snapToGrid/>
              <w:spacing w:line="276" w:lineRule="auto"/>
              <w:ind w:firstLine="0" w:firstLineChars="0"/>
              <w:rPr>
                <w:rFonts w:eastAsia="宋体" w:cs="Times New Roman"/>
                <w:b/>
                <w:bCs/>
                <w:color w:val="2E75B5"/>
                <w:sz w:val="24"/>
                <w:szCs w:val="24"/>
              </w:rPr>
            </w:pPr>
            <w:r>
              <w:rPr>
                <w:rFonts w:eastAsia="宋体" w:cs="Times New Roman"/>
                <w:b/>
                <w:bCs/>
                <w:color w:val="2E75B5"/>
                <w:sz w:val="24"/>
                <w:szCs w:val="24"/>
              </w:rPr>
              <w:t>项目背景：</w:t>
            </w:r>
          </w:p>
          <w:p w14:paraId="00759651">
            <w:pPr>
              <w:widowControl w:val="0"/>
              <w:wordWrap w:val="0"/>
              <w:ind w:firstLine="480"/>
              <w:rPr>
                <w:rFonts w:eastAsia="宋体" w:cs="Times New Roman"/>
                <w:sz w:val="24"/>
                <w:szCs w:val="24"/>
              </w:rPr>
            </w:pPr>
            <w:r>
              <w:rPr>
                <w:rFonts w:hint="eastAsia" w:eastAsia="宋体" w:cs="Times New Roman"/>
                <w:sz w:val="24"/>
                <w:szCs w:val="24"/>
              </w:rPr>
              <w:t>乌海市地处我国西北干旱半干旱地区，是黄河进入内蒙古的第一站，人均水资源量不足全国平均水平的</w:t>
            </w:r>
            <w:r>
              <w:rPr>
                <w:rFonts w:eastAsia="宋体" w:cs="Times New Roman"/>
                <w:sz w:val="24"/>
                <w:szCs w:val="24"/>
              </w:rPr>
              <w:t>20%</w:t>
            </w:r>
            <w:r>
              <w:rPr>
                <w:rFonts w:hint="eastAsia" w:eastAsia="宋体" w:cs="Times New Roman"/>
                <w:sz w:val="24"/>
                <w:szCs w:val="24"/>
              </w:rPr>
              <w:t>，资源性缺水问题长期制约区域产业发展与生态环境承载能力提升。在“双碳”目标及黄河流域生态保护和高质量发展战略持续推进背景下，地方政府不断强化水资源刚性约束与节约集约利用要求，推动工业企业提升节水减排和循环利用水平。与此同时，部分企业存在传统抵押物不足、绿色转型资金需求较大的问题，融资渠道有待进一步拓宽。围绕区域水资源约束与绿色发展需求，乌海银行积极探索绿色金融创新路径，创新推出“水权贷”绿色金融产品，支持重点行业节水、减污、降碳及资源循环利用，助力区域绿色低碳转型。</w:t>
            </w:r>
          </w:p>
          <w:p w14:paraId="3A37CBF6">
            <w:pPr>
              <w:widowControl w:val="0"/>
              <w:snapToGrid/>
              <w:spacing w:line="276" w:lineRule="auto"/>
              <w:ind w:firstLine="0" w:firstLineChars="0"/>
              <w:rPr>
                <w:rFonts w:eastAsia="宋体" w:cs="Times New Roman"/>
                <w:b/>
                <w:bCs/>
                <w:color w:val="2E75B5"/>
                <w:sz w:val="24"/>
                <w:szCs w:val="24"/>
              </w:rPr>
            </w:pPr>
            <w:r>
              <w:rPr>
                <w:rFonts w:eastAsia="宋体" w:cs="Times New Roman"/>
                <w:b/>
                <w:bCs/>
                <w:color w:val="2E75B5"/>
                <w:sz w:val="24"/>
                <w:szCs w:val="24"/>
              </w:rPr>
              <w:t>项目内容：</w:t>
            </w:r>
          </w:p>
          <w:p w14:paraId="32AA71AB">
            <w:pPr>
              <w:widowControl w:val="0"/>
              <w:wordWrap w:val="0"/>
              <w:ind w:firstLine="480"/>
              <w:rPr>
                <w:rFonts w:eastAsia="宋体" w:cs="Times New Roman"/>
                <w:sz w:val="24"/>
                <w:szCs w:val="24"/>
              </w:rPr>
            </w:pPr>
            <w:r>
              <w:rPr>
                <w:rFonts w:eastAsia="宋体" w:cs="Times New Roman"/>
                <w:sz w:val="24"/>
                <w:szCs w:val="24"/>
              </w:rPr>
              <w:t>2025</w:t>
            </w:r>
            <w:r>
              <w:rPr>
                <w:rFonts w:hint="eastAsia" w:eastAsia="宋体" w:cs="Times New Roman"/>
                <w:sz w:val="24"/>
                <w:szCs w:val="24"/>
              </w:rPr>
              <w:t>年</w:t>
            </w:r>
            <w:r>
              <w:rPr>
                <w:rFonts w:eastAsia="宋体" w:cs="Times New Roman"/>
                <w:sz w:val="24"/>
                <w:szCs w:val="24"/>
              </w:rPr>
              <w:t>1</w:t>
            </w:r>
            <w:r>
              <w:rPr>
                <w:rFonts w:hint="eastAsia" w:eastAsia="宋体" w:cs="Times New Roman"/>
                <w:sz w:val="24"/>
                <w:szCs w:val="24"/>
              </w:rPr>
              <w:t>月，乌海银行海南支行落地海南区首笔“水权贷”业务，向乌海市巴音陶亥滴沥帮乌素隆昌煤矿有限责任公司及内蒙古广远集团宝成煤业有限公司提供贷款支持。两家企业以黄河水水权共计</w:t>
            </w:r>
            <w:r>
              <w:rPr>
                <w:rFonts w:eastAsia="宋体" w:cs="Times New Roman"/>
                <w:sz w:val="24"/>
                <w:szCs w:val="24"/>
              </w:rPr>
              <w:t>6</w:t>
            </w:r>
            <w:r>
              <w:rPr>
                <w:rFonts w:hint="eastAsia" w:eastAsia="宋体" w:cs="Times New Roman"/>
                <w:sz w:val="24"/>
                <w:szCs w:val="24"/>
              </w:rPr>
              <w:t>万立方米作为质押，获得合计</w:t>
            </w:r>
            <w:r>
              <w:rPr>
                <w:rFonts w:eastAsia="宋体" w:cs="Times New Roman"/>
                <w:sz w:val="24"/>
                <w:szCs w:val="24"/>
              </w:rPr>
              <w:t>500</w:t>
            </w:r>
            <w:r>
              <w:rPr>
                <w:rFonts w:hint="eastAsia" w:eastAsia="宋体" w:cs="Times New Roman"/>
                <w:sz w:val="24"/>
                <w:szCs w:val="24"/>
              </w:rPr>
              <w:t>万元融资支持，有效缓解企业绿色转型及生产经营中的资金需求。</w:t>
            </w:r>
          </w:p>
          <w:p w14:paraId="1BB1344E">
            <w:pPr>
              <w:widowControl w:val="0"/>
              <w:wordWrap w:val="0"/>
              <w:ind w:firstLine="480"/>
              <w:rPr>
                <w:rFonts w:eastAsia="宋体" w:cs="Times New Roman"/>
                <w:sz w:val="24"/>
                <w:szCs w:val="24"/>
              </w:rPr>
            </w:pPr>
            <w:r>
              <w:rPr>
                <w:rFonts w:hint="eastAsia" w:eastAsia="宋体" w:cs="Times New Roman"/>
                <w:sz w:val="24"/>
                <w:szCs w:val="24"/>
              </w:rPr>
              <w:t>“水权贷”是乌海市围绕水资源优化配置推出的绿色金融创新产品，重点支持水资源开发利用、节约保护、生产尾水处理回用及非常规水源利用等领域建设。企业可凭合法取得的取水许可证、水权交易鉴证书等，将取水权或水资源使用权作为质押向银行申请融资，实现水资源向金融资产转化。依托乌海数字孪生水利系统及水权交易电子平台，企业可在线完成水权交易及信息查询，提高水资源配置效率和融资便利性。同时，企业通过节水技改形成节余水量后，还可通过水权交易实现资源价值变现，进一步增强节水积极性</w:t>
            </w:r>
            <w:r>
              <w:rPr>
                <w:rFonts w:eastAsia="宋体" w:cs="Times New Roman"/>
                <w:sz w:val="24"/>
                <w:szCs w:val="24"/>
              </w:rPr>
              <w:t>。</w:t>
            </w:r>
          </w:p>
          <w:p w14:paraId="6043F369">
            <w:pPr>
              <w:widowControl w:val="0"/>
              <w:snapToGrid/>
              <w:spacing w:line="276" w:lineRule="auto"/>
              <w:ind w:firstLine="0" w:firstLineChars="0"/>
              <w:rPr>
                <w:rFonts w:eastAsia="宋体" w:cs="Times New Roman"/>
                <w:b/>
                <w:bCs/>
                <w:color w:val="2E75B5"/>
                <w:sz w:val="24"/>
                <w:szCs w:val="24"/>
              </w:rPr>
            </w:pPr>
            <w:r>
              <w:rPr>
                <w:rFonts w:eastAsia="宋体" w:cs="Times New Roman"/>
                <w:b/>
                <w:bCs/>
                <w:color w:val="2E75B5"/>
                <w:sz w:val="24"/>
                <w:szCs w:val="24"/>
              </w:rPr>
              <w:t>项目价值：</w:t>
            </w:r>
          </w:p>
          <w:p w14:paraId="42EE2212">
            <w:pPr>
              <w:widowControl w:val="0"/>
              <w:wordWrap w:val="0"/>
              <w:ind w:firstLine="480"/>
              <w:rPr>
                <w:rFonts w:eastAsia="宋体" w:cs="Times New Roman"/>
                <w:sz w:val="24"/>
                <w:szCs w:val="24"/>
              </w:rPr>
            </w:pPr>
            <w:r>
              <w:rPr>
                <w:rFonts w:hint="eastAsia" w:eastAsia="宋体" w:cs="Times New Roman"/>
                <w:sz w:val="24"/>
                <w:szCs w:val="24"/>
              </w:rPr>
              <w:t>项目通过金融工具创新，推动水资源节约利用与绿色金融深度融合，实现生态资源价值转化、产业绿色转型及金融服务实体经济的多重协同。在自然资源保护层面，项目以水权市场化配置为基础，引导企业提升节水意识和资源利用效率，促进黄河流域水资源节约集约利用，缓解区域资源性缺水压力；同时，通过支持尾水回用及非常规水资源利用项目，减少对自然水资源的过度依赖，增强区域生态系统韧性。</w:t>
            </w:r>
          </w:p>
          <w:p w14:paraId="561F9B6C">
            <w:pPr>
              <w:widowControl w:val="0"/>
              <w:wordWrap w:val="0"/>
              <w:ind w:firstLine="480"/>
              <w:rPr>
                <w:rFonts w:eastAsia="宋体" w:cs="Times New Roman"/>
                <w:sz w:val="24"/>
                <w:szCs w:val="24"/>
              </w:rPr>
            </w:pPr>
            <w:r>
              <w:rPr>
                <w:rFonts w:hint="eastAsia" w:eastAsia="宋体" w:cs="Times New Roman"/>
                <w:sz w:val="24"/>
                <w:szCs w:val="24"/>
              </w:rPr>
              <w:t>在自然相关风险应对方面，项目通过将水资源使用权纳入融资体系，缓解企业因传统抵押物不足带来的融资约束，增强企业对资源约束和环保政策变化的适应能力。同时，通过市场化水权交易机制，引导企业主动节水，降低未来因水资源紧缺、环保监管趋严及资源价格波动带来的经营风险。项目积极响应国家节水行动、黄河流域生态保护及绿色金融发展政策导向，推动生态资源资产化与绿色金融产品创新，为区域绿色产业发展提供新的融资路径。乌海市“水权交易</w:t>
            </w:r>
            <w:r>
              <w:rPr>
                <w:rFonts w:eastAsia="宋体" w:cs="Times New Roman"/>
                <w:sz w:val="24"/>
                <w:szCs w:val="24"/>
              </w:rPr>
              <w:t>+</w:t>
            </w:r>
            <w:r>
              <w:rPr>
                <w:rFonts w:hint="eastAsia" w:eastAsia="宋体" w:cs="Times New Roman"/>
                <w:sz w:val="24"/>
                <w:szCs w:val="24"/>
              </w:rPr>
              <w:t>水权贷”案例已入选水利部《用水权改革典型案例汇编》，形成具有区域特色的绿色金融创新实践，为资源型地区探索生态资源价值实现机制提供特色经验。</w:t>
            </w:r>
          </w:p>
          <w:p w14:paraId="3D1E89C4">
            <w:pPr>
              <w:widowControl w:val="0"/>
              <w:snapToGrid/>
              <w:spacing w:line="276" w:lineRule="auto"/>
              <w:ind w:firstLine="0" w:firstLineChars="0"/>
              <w:rPr>
                <w:rFonts w:eastAsia="宋体" w:cs="Times New Roman"/>
                <w:b/>
                <w:bCs/>
                <w:color w:val="2E75B5"/>
                <w:sz w:val="24"/>
                <w:szCs w:val="24"/>
              </w:rPr>
            </w:pPr>
            <w:r>
              <w:rPr>
                <w:rFonts w:eastAsia="宋体" w:cs="Times New Roman"/>
                <w:b/>
                <w:bCs/>
                <w:color w:val="2E75B5"/>
                <w:sz w:val="24"/>
                <w:szCs w:val="24"/>
              </w:rPr>
              <w:t>项目风险管控亮点实践：</w:t>
            </w:r>
          </w:p>
          <w:p w14:paraId="3FAB28DF">
            <w:pPr>
              <w:widowControl w:val="0"/>
              <w:wordWrap w:val="0"/>
              <w:ind w:firstLine="480"/>
              <w:rPr>
                <w:rFonts w:eastAsia="宋体" w:cs="Times New Roman"/>
                <w:sz w:val="24"/>
                <w:szCs w:val="24"/>
              </w:rPr>
            </w:pPr>
            <w:r>
              <w:rPr>
                <w:rFonts w:hint="eastAsia" w:eastAsia="宋体" w:cs="Times New Roman"/>
                <w:sz w:val="24"/>
                <w:szCs w:val="24"/>
              </w:rPr>
              <w:t>乌海银行构建风险管控机制，在业务准入阶段重点审核企业取水资质、水权合法性及环境合规情况，并结合企业生产经营、节水能力及现金流情况开展综合评估，确保融资与资源利用能力相匹配。在贷后管理中，依托水权交易平台及数字化水利系统，持续跟踪企业水资源使用、交易及节水改造情况，动态监测资源价值变化及经营风险。</w:t>
            </w:r>
          </w:p>
        </w:tc>
      </w:tr>
    </w:tbl>
    <w:p w14:paraId="519FC65D">
      <w:pPr>
        <w:wordWrap w:val="0"/>
        <w:ind w:firstLine="480"/>
        <w:rPr>
          <w:rFonts w:eastAsia="宋体" w:cs="Times New Roman"/>
          <w:sz w:val="24"/>
          <w:szCs w:val="24"/>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394B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Pr>
          <w:p w14:paraId="443F50FE">
            <w:pPr>
              <w:widowControl w:val="0"/>
              <w:snapToGrid/>
              <w:spacing w:after="200" w:line="276" w:lineRule="auto"/>
              <w:ind w:firstLine="0" w:firstLineChars="0"/>
              <w:rPr>
                <w:rFonts w:eastAsia="宋体" w:cs="Times New Roman"/>
                <w:b/>
                <w:bCs/>
                <w:color w:val="2E75B5"/>
                <w:sz w:val="24"/>
                <w:szCs w:val="28"/>
              </w:rPr>
            </w:pPr>
            <w:r>
              <w:rPr>
                <w:rFonts w:eastAsia="宋体" w:cs="Times New Roman"/>
                <w:b/>
                <w:bCs/>
                <w:color w:val="2E75B5"/>
                <w:sz w:val="24"/>
                <w:szCs w:val="28"/>
              </w:rPr>
              <w:t>案例：</w:t>
            </w:r>
            <w:r>
              <w:rPr>
                <w:rFonts w:hint="eastAsia" w:eastAsia="宋体" w:cs="Times New Roman"/>
                <w:b/>
                <w:bCs/>
                <w:color w:val="2E75B5"/>
                <w:sz w:val="24"/>
                <w:szCs w:val="28"/>
              </w:rPr>
              <w:t>发行自治区首单绿色金融债券，拓宽绿色产业融资渠道</w:t>
            </w:r>
          </w:p>
          <w:p w14:paraId="7FCBD56F">
            <w:pPr>
              <w:widowControl w:val="0"/>
              <w:snapToGrid/>
              <w:spacing w:line="276" w:lineRule="auto"/>
              <w:ind w:firstLine="0" w:firstLineChars="0"/>
              <w:rPr>
                <w:rFonts w:eastAsia="宋体" w:cs="Times New Roman"/>
                <w:b/>
                <w:bCs/>
                <w:color w:val="2E75B5"/>
                <w:sz w:val="24"/>
                <w:szCs w:val="24"/>
              </w:rPr>
            </w:pPr>
            <w:r>
              <w:rPr>
                <w:rFonts w:eastAsia="宋体" w:cs="Times New Roman"/>
                <w:b/>
                <w:bCs/>
                <w:color w:val="2E75B5"/>
                <w:sz w:val="24"/>
                <w:szCs w:val="24"/>
              </w:rPr>
              <w:t>项目背景：</w:t>
            </w:r>
          </w:p>
          <w:p w14:paraId="287ABEBC">
            <w:pPr>
              <w:widowControl w:val="0"/>
              <w:wordWrap w:val="0"/>
              <w:ind w:firstLine="480"/>
              <w:rPr>
                <w:rFonts w:eastAsia="宋体" w:cs="Times New Roman"/>
                <w:sz w:val="24"/>
                <w:szCs w:val="24"/>
              </w:rPr>
            </w:pPr>
            <w:r>
              <w:rPr>
                <w:rFonts w:hint="eastAsia" w:eastAsia="宋体" w:cs="Times New Roman"/>
                <w:sz w:val="24"/>
                <w:szCs w:val="24"/>
              </w:rPr>
              <w:t>作为资源型城市，乌海市长期面临产业结构偏重、资源环境约束趋紧等问题，绿色转型需求迫切。与此同时，节能环保、清洁能源、污染治理等绿色产业项目普遍存在投资周期长、资金需求大等特点，传统融资渠道难以完全满足绿色项目建设及运营需求。为积极响应国家绿色金融发展战略，推动区域绿色产业发展，乌海银行持续探索绿色金融创新路径，将建设“绿色信贷银行”作为长期经营发展战略，并积极通过债券市场拓宽绿色融资渠道，提升绿色金融服务实体经济能力。</w:t>
            </w:r>
          </w:p>
          <w:p w14:paraId="261B81A8">
            <w:pPr>
              <w:widowControl w:val="0"/>
              <w:snapToGrid/>
              <w:spacing w:line="276" w:lineRule="auto"/>
              <w:ind w:firstLine="0" w:firstLineChars="0"/>
              <w:rPr>
                <w:rFonts w:eastAsia="宋体" w:cs="Times New Roman"/>
                <w:b/>
                <w:bCs/>
                <w:color w:val="2E75B5"/>
                <w:sz w:val="24"/>
                <w:szCs w:val="24"/>
              </w:rPr>
            </w:pPr>
            <w:r>
              <w:rPr>
                <w:rFonts w:eastAsia="宋体" w:cs="Times New Roman"/>
                <w:b/>
                <w:bCs/>
                <w:color w:val="2E75B5"/>
                <w:sz w:val="24"/>
                <w:szCs w:val="24"/>
              </w:rPr>
              <w:t>项目内容：</w:t>
            </w:r>
          </w:p>
          <w:p w14:paraId="06E23985">
            <w:pPr>
              <w:widowControl w:val="0"/>
              <w:wordWrap w:val="0"/>
              <w:ind w:firstLine="480"/>
              <w:rPr>
                <w:rFonts w:eastAsia="宋体" w:cs="Times New Roman"/>
                <w:sz w:val="24"/>
                <w:szCs w:val="24"/>
              </w:rPr>
            </w:pPr>
            <w:r>
              <w:rPr>
                <w:rFonts w:eastAsia="宋体" w:cs="Times New Roman"/>
                <w:sz w:val="24"/>
                <w:szCs w:val="24"/>
              </w:rPr>
              <w:t>2017</w:t>
            </w:r>
            <w:r>
              <w:rPr>
                <w:rFonts w:hint="eastAsia" w:eastAsia="宋体" w:cs="Times New Roman"/>
                <w:sz w:val="24"/>
                <w:szCs w:val="24"/>
              </w:rPr>
              <w:t>年</w:t>
            </w:r>
            <w:r>
              <w:rPr>
                <w:rFonts w:eastAsia="宋体" w:cs="Times New Roman"/>
                <w:sz w:val="24"/>
                <w:szCs w:val="24"/>
              </w:rPr>
              <w:t>2</w:t>
            </w:r>
            <w:r>
              <w:rPr>
                <w:rFonts w:hint="eastAsia" w:eastAsia="宋体" w:cs="Times New Roman"/>
                <w:sz w:val="24"/>
                <w:szCs w:val="24"/>
              </w:rPr>
              <w:t>月</w:t>
            </w:r>
            <w:r>
              <w:rPr>
                <w:rFonts w:eastAsia="宋体" w:cs="Times New Roman"/>
                <w:sz w:val="24"/>
                <w:szCs w:val="24"/>
              </w:rPr>
              <w:t>17</w:t>
            </w:r>
            <w:r>
              <w:rPr>
                <w:rFonts w:hint="eastAsia" w:eastAsia="宋体" w:cs="Times New Roman"/>
                <w:sz w:val="24"/>
                <w:szCs w:val="24"/>
              </w:rPr>
              <w:t>日，乌海银行成功簿记发行内蒙古自治区首单绿色金融债券，发行规模</w:t>
            </w:r>
            <w:r>
              <w:rPr>
                <w:rFonts w:eastAsia="宋体" w:cs="Times New Roman"/>
                <w:sz w:val="24"/>
                <w:szCs w:val="24"/>
              </w:rPr>
              <w:t>5</w:t>
            </w:r>
            <w:r>
              <w:rPr>
                <w:rFonts w:hint="eastAsia" w:eastAsia="宋体" w:cs="Times New Roman"/>
                <w:sz w:val="24"/>
                <w:szCs w:val="24"/>
              </w:rPr>
              <w:t>亿元，债券期限</w:t>
            </w:r>
            <w:r>
              <w:rPr>
                <w:rFonts w:eastAsia="宋体" w:cs="Times New Roman"/>
                <w:sz w:val="24"/>
                <w:szCs w:val="24"/>
              </w:rPr>
              <w:t>3</w:t>
            </w:r>
            <w:r>
              <w:rPr>
                <w:rFonts w:hint="eastAsia" w:eastAsia="宋体" w:cs="Times New Roman"/>
                <w:sz w:val="24"/>
                <w:szCs w:val="24"/>
              </w:rPr>
              <w:t>年。本次债券经中国人民银行及银行业监管部门核准，在银行间债券市场以簿记建档方式公开发行，获得市场良好反响。</w:t>
            </w:r>
          </w:p>
          <w:p w14:paraId="757FA50A">
            <w:pPr>
              <w:widowControl w:val="0"/>
              <w:wordWrap w:val="0"/>
              <w:ind w:firstLine="480"/>
              <w:rPr>
                <w:rFonts w:eastAsia="宋体" w:cs="Times New Roman"/>
                <w:sz w:val="24"/>
                <w:szCs w:val="24"/>
              </w:rPr>
            </w:pPr>
            <w:r>
              <w:rPr>
                <w:rFonts w:hint="eastAsia" w:eastAsia="宋体" w:cs="Times New Roman"/>
                <w:sz w:val="24"/>
                <w:szCs w:val="24"/>
              </w:rPr>
              <w:t>本次绿色金融债券募集资金专项用于绿色产业项目投放。乌海银行提前建立绿色项目储备库，初步筛选绿色产业项目</w:t>
            </w:r>
            <w:r>
              <w:rPr>
                <w:rFonts w:eastAsia="宋体" w:cs="Times New Roman"/>
                <w:sz w:val="24"/>
                <w:szCs w:val="24"/>
              </w:rPr>
              <w:t>33</w:t>
            </w:r>
            <w:r>
              <w:rPr>
                <w:rFonts w:hint="eastAsia" w:eastAsia="宋体" w:cs="Times New Roman"/>
                <w:sz w:val="24"/>
                <w:szCs w:val="24"/>
              </w:rPr>
              <w:t>个，预计累计授信金额</w:t>
            </w:r>
            <w:r>
              <w:rPr>
                <w:rFonts w:eastAsia="宋体" w:cs="Times New Roman"/>
                <w:sz w:val="24"/>
                <w:szCs w:val="24"/>
              </w:rPr>
              <w:t>7.53</w:t>
            </w:r>
            <w:r>
              <w:rPr>
                <w:rFonts w:hint="eastAsia" w:eastAsia="宋体" w:cs="Times New Roman"/>
                <w:sz w:val="24"/>
                <w:szCs w:val="24"/>
              </w:rPr>
              <w:t>亿元，重点支持节能环保、清洁能源、污染治理及绿色低碳发展等领域项目建设和运营。通过绿色金融债券募集资金支持，进一步提升绿色产业项目融资可获得性，保障绿色项目在建设期和运营期获得持续稳定资金支持。</w:t>
            </w:r>
          </w:p>
          <w:p w14:paraId="28C6D56C">
            <w:pPr>
              <w:widowControl w:val="0"/>
              <w:snapToGrid/>
              <w:spacing w:line="276" w:lineRule="auto"/>
              <w:ind w:firstLine="0" w:firstLineChars="0"/>
              <w:rPr>
                <w:rFonts w:eastAsia="宋体" w:cs="Times New Roman"/>
                <w:b/>
                <w:bCs/>
                <w:color w:val="2E75B5"/>
                <w:sz w:val="24"/>
                <w:szCs w:val="24"/>
              </w:rPr>
            </w:pPr>
            <w:r>
              <w:rPr>
                <w:rFonts w:eastAsia="宋体" w:cs="Times New Roman"/>
                <w:b/>
                <w:bCs/>
                <w:color w:val="2E75B5"/>
                <w:sz w:val="24"/>
                <w:szCs w:val="24"/>
              </w:rPr>
              <w:t>项目价值：</w:t>
            </w:r>
          </w:p>
          <w:p w14:paraId="71C70414">
            <w:pPr>
              <w:widowControl w:val="0"/>
              <w:wordWrap w:val="0"/>
              <w:ind w:firstLine="480"/>
              <w:rPr>
                <w:rFonts w:eastAsia="宋体" w:cs="Times New Roman"/>
                <w:sz w:val="24"/>
                <w:szCs w:val="24"/>
              </w:rPr>
            </w:pPr>
            <w:r>
              <w:rPr>
                <w:rFonts w:hint="eastAsia" w:eastAsia="宋体" w:cs="Times New Roman"/>
                <w:sz w:val="24"/>
                <w:szCs w:val="24"/>
              </w:rPr>
              <w:t>项目通过绿色金融债券创新实践，推动金融资源向绿色低碳领域集聚，实现绿色金融、产业转型与生态环境保护协同发展。在自然环境与资源保护层面，募集资金重点投向节能环保、清洁能源及污染治理等绿色产业项目，有助于推动能源结构优化、资源循环利用及污染减排，降低高耗能、高排放产业对生态环境的压力，促进区域绿色低碳转型发展。</w:t>
            </w:r>
          </w:p>
          <w:p w14:paraId="0C5872E7">
            <w:pPr>
              <w:widowControl w:val="0"/>
              <w:wordWrap w:val="0"/>
              <w:ind w:firstLine="480"/>
              <w:rPr>
                <w:rFonts w:eastAsia="宋体" w:cs="Times New Roman"/>
                <w:sz w:val="24"/>
                <w:szCs w:val="24"/>
              </w:rPr>
            </w:pPr>
            <w:r>
              <w:rPr>
                <w:rFonts w:hint="eastAsia" w:eastAsia="宋体" w:cs="Times New Roman"/>
                <w:sz w:val="24"/>
                <w:szCs w:val="24"/>
              </w:rPr>
              <w:t>在自然相关风险应对方面，项目通过建立绿色项目储备及专项资金支持机制，引导金融资源更多流向环境效益较好、资源利用效率较高的产业领域，降低高环境影响行业风险暴露，推动资产结构持续优化。同时，通过绿色债券融资方式，为绿色项目提供中长期稳定资金来源，增强绿色产业主体应对政策变化、资源约束及市场波动的能力，提升产业整体韧性。</w:t>
            </w:r>
          </w:p>
          <w:p w14:paraId="18668497">
            <w:pPr>
              <w:widowControl w:val="0"/>
              <w:wordWrap w:val="0"/>
              <w:ind w:firstLine="480"/>
              <w:rPr>
                <w:rFonts w:eastAsia="宋体" w:cs="Times New Roman"/>
                <w:sz w:val="24"/>
                <w:szCs w:val="24"/>
              </w:rPr>
            </w:pPr>
            <w:r>
              <w:rPr>
                <w:rFonts w:hint="eastAsia" w:eastAsia="宋体" w:cs="Times New Roman"/>
                <w:sz w:val="24"/>
                <w:szCs w:val="24"/>
              </w:rPr>
              <w:t>项目拓宽了地方绿色融资渠道，丰富了绿色金融产品体系，为区域绿色产业发展注入长期资金支持。同时，乌海银行通过发行自治区首单绿色金融债券，进一步树立了“绿色银行”品牌形象，提升了市场认可度与社会影响力，也为地方金融机构探索绿色金融创新提供了实践经验。</w:t>
            </w:r>
          </w:p>
          <w:p w14:paraId="3EDCE2C7">
            <w:pPr>
              <w:widowControl w:val="0"/>
              <w:snapToGrid/>
              <w:spacing w:line="276" w:lineRule="auto"/>
              <w:ind w:firstLine="0" w:firstLineChars="0"/>
              <w:rPr>
                <w:rFonts w:eastAsia="宋体" w:cs="Times New Roman"/>
                <w:b/>
                <w:bCs/>
                <w:color w:val="2E75B5"/>
                <w:sz w:val="24"/>
                <w:szCs w:val="24"/>
              </w:rPr>
            </w:pPr>
            <w:r>
              <w:rPr>
                <w:rFonts w:eastAsia="宋体" w:cs="Times New Roman"/>
                <w:b/>
                <w:bCs/>
                <w:color w:val="2E75B5"/>
                <w:sz w:val="24"/>
                <w:szCs w:val="24"/>
              </w:rPr>
              <w:t>项目风险管控亮点实践：</w:t>
            </w:r>
          </w:p>
          <w:p w14:paraId="62C3F135">
            <w:pPr>
              <w:widowControl w:val="0"/>
              <w:wordWrap w:val="0"/>
              <w:ind w:firstLine="480"/>
              <w:rPr>
                <w:rFonts w:eastAsia="宋体" w:cs="Times New Roman"/>
                <w:sz w:val="24"/>
                <w:szCs w:val="24"/>
              </w:rPr>
            </w:pPr>
            <w:r>
              <w:rPr>
                <w:rFonts w:hint="eastAsia" w:eastAsia="宋体" w:cs="Times New Roman"/>
                <w:sz w:val="24"/>
                <w:szCs w:val="24"/>
              </w:rPr>
              <w:t>乌海银行建立绿色债券资金管理机制，在募集资金使用过程中严格对照绿色债券支持目录及监管要求，确保资金专项用于绿色产业项目。通过建立绿色项目储备清单和动态管理机制，对项目环境效益、合规性及风险状况进行持续跟踪和评估，强化绿色项目筛选与贷后监测。</w:t>
            </w:r>
          </w:p>
        </w:tc>
      </w:tr>
    </w:tbl>
    <w:p w14:paraId="38B39EBB">
      <w:pPr>
        <w:spacing w:after="120"/>
        <w:ind w:firstLine="560"/>
        <w:rPr>
          <w:rFonts w:eastAsia="宋体" w:cs="Times New Roman"/>
        </w:rPr>
      </w:pPr>
      <w:r>
        <w:rPr>
          <w:rFonts w:hint="eastAsia" w:eastAsia="宋体" w:cs="Times New Roman"/>
        </w:rPr>
        <w:t>乌海银行</w:t>
      </w:r>
      <w:r>
        <w:rPr>
          <w:rFonts w:eastAsia="宋体" w:cs="Times New Roman"/>
        </w:rPr>
        <w:t>将环境责任融入日常运营管理，通过推进绿色办公、</w:t>
      </w:r>
      <w:r>
        <w:rPr>
          <w:rFonts w:hint="eastAsia" w:eastAsia="宋体" w:cs="Times New Roman"/>
        </w:rPr>
        <w:t>落实节能减排、倡导绿色采购</w:t>
      </w:r>
      <w:r>
        <w:rPr>
          <w:rFonts w:eastAsia="宋体" w:cs="Times New Roman"/>
        </w:rPr>
        <w:t>与绿色出行等举措，系统降低资源消耗与环境足迹，在减少运营对自然环境压力的同时，有效应对能源价格波动、资源约束及政策监管趋严等自然相关风险，持续提升机构运营韧性。</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E3B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25DDD5AD">
            <w:pPr>
              <w:widowControl w:val="0"/>
              <w:ind w:firstLine="0" w:firstLineChars="0"/>
              <w:jc w:val="center"/>
              <w:rPr>
                <w:rFonts w:eastAsia="宋体" w:cs="Times New Roman"/>
                <w:b/>
                <w:bCs/>
                <w:sz w:val="24"/>
                <w:szCs w:val="24"/>
              </w:rPr>
            </w:pPr>
            <w:r>
              <w:rPr>
                <w:rFonts w:hint="eastAsia" w:eastAsia="宋体" w:cs="Times New Roman"/>
                <w:b/>
                <w:bCs/>
                <w:sz w:val="24"/>
                <w:szCs w:val="24"/>
              </w:rPr>
              <w:t>乌海银行</w:t>
            </w:r>
            <w:r>
              <w:rPr>
                <w:rFonts w:eastAsia="宋体" w:cs="Times New Roman"/>
                <w:b/>
                <w:bCs/>
                <w:sz w:val="24"/>
                <w:szCs w:val="24"/>
              </w:rPr>
              <w:t>绿色办公措施</w:t>
            </w:r>
          </w:p>
          <w:p w14:paraId="6360B364">
            <w:pPr>
              <w:widowControl w:val="0"/>
              <w:wordWrap w:val="0"/>
              <w:ind w:firstLine="482"/>
              <w:rPr>
                <w:rFonts w:eastAsia="宋体" w:cs="Times New Roman"/>
                <w:sz w:val="24"/>
                <w:szCs w:val="24"/>
              </w:rPr>
            </w:pPr>
            <w:r>
              <w:rPr>
                <w:rFonts w:hint="eastAsia" w:eastAsia="宋体" w:cs="Times New Roman"/>
                <w:b/>
                <w:bCs/>
                <w:sz w:val="24"/>
                <w:szCs w:val="24"/>
              </w:rPr>
              <w:t>实行绿色办公。</w:t>
            </w:r>
            <w:r>
              <w:rPr>
                <w:rFonts w:hint="eastAsia" w:eastAsia="宋体" w:cs="Times New Roman"/>
                <w:sz w:val="24"/>
                <w:szCs w:val="24"/>
              </w:rPr>
              <w:t>推行线上无纸化办公、双面打印，做好单面打印纸张的背面再利用以及废旧纸张回收工作。部分业务凭证档案以电子文档的形式保存，信贷及信用卡业务逐步由线下向线上转化，提高线上业务比例。</w:t>
            </w:r>
          </w:p>
          <w:p w14:paraId="7912D1FD">
            <w:pPr>
              <w:widowControl w:val="0"/>
              <w:wordWrap w:val="0"/>
              <w:ind w:firstLine="482"/>
              <w:rPr>
                <w:rFonts w:eastAsia="宋体" w:cs="Times New Roman"/>
                <w:sz w:val="24"/>
                <w:szCs w:val="24"/>
              </w:rPr>
            </w:pPr>
            <w:r>
              <w:rPr>
                <w:rFonts w:hint="eastAsia" w:eastAsia="宋体" w:cs="Times New Roman"/>
                <w:b/>
                <w:bCs/>
                <w:sz w:val="24"/>
                <w:szCs w:val="24"/>
              </w:rPr>
              <w:t>落实节能减排。</w:t>
            </w:r>
            <w:r>
              <w:rPr>
                <w:rFonts w:hint="eastAsia" w:eastAsia="宋体" w:cs="Times New Roman"/>
                <w:sz w:val="24"/>
                <w:szCs w:val="24"/>
              </w:rPr>
              <w:t>严格控制空调使用温度，不在开窗的情况下使用空调，下班前半小时关闭空调。合理使用光照，办公室、会议室、走廊等场所内自然光亮度足够时不开灯，杜绝长明灯、白昼灯，做到人走灯灭。有效节约用电，对于计算机等办公设备长时间不适用或下班时间及时关闭电源，尽量减少待机消耗，提倡低楼层不乘电梯，在办公室、会议室张贴节约用电标识。落实节约用水，及时检查更换老化的供水管道及零件，防止出现漏水现象。在用水区域张贴节约用水标识，水龙头做到随手关闭，减少水资源浪费。</w:t>
            </w:r>
          </w:p>
          <w:p w14:paraId="472C7B2B">
            <w:pPr>
              <w:widowControl w:val="0"/>
              <w:wordWrap w:val="0"/>
              <w:ind w:firstLine="482"/>
              <w:rPr>
                <w:rFonts w:eastAsia="宋体" w:cs="Times New Roman"/>
                <w:sz w:val="24"/>
                <w:szCs w:val="24"/>
              </w:rPr>
            </w:pPr>
            <w:r>
              <w:rPr>
                <w:rFonts w:hint="eastAsia" w:eastAsia="宋体" w:cs="Times New Roman"/>
                <w:b/>
                <w:bCs/>
                <w:sz w:val="24"/>
                <w:szCs w:val="24"/>
              </w:rPr>
              <w:t>倡导绿色出行、文明用餐。</w:t>
            </w:r>
            <w:r>
              <w:rPr>
                <w:rFonts w:hint="eastAsia" w:eastAsia="宋体" w:cs="Times New Roman"/>
                <w:sz w:val="24"/>
                <w:szCs w:val="24"/>
              </w:rPr>
              <w:t>倡导员工购置新能源汽车或采用公共交通工具出行，建议离单位近的员工采用步行或骑单车方式上下班，降低对能源资源消耗及汽车尾气排放。积极推广“光盘”行动，减少厨余垃圾产生，对于有打包需求的员工，鼓励自带午餐盒，逐步养成勤俭节约、绿色环保的生产生活方式。</w:t>
            </w:r>
          </w:p>
          <w:p w14:paraId="76399E78">
            <w:pPr>
              <w:widowControl w:val="0"/>
              <w:wordWrap w:val="0"/>
              <w:ind w:firstLine="482"/>
              <w:rPr>
                <w:rFonts w:eastAsia="宋体" w:cs="Times New Roman"/>
                <w:b/>
                <w:bCs/>
                <w:sz w:val="24"/>
                <w:szCs w:val="24"/>
              </w:rPr>
            </w:pPr>
          </w:p>
          <w:p w14:paraId="249F5AA8">
            <w:pPr>
              <w:widowControl w:val="0"/>
              <w:wordWrap w:val="0"/>
              <w:ind w:firstLine="480"/>
              <w:rPr>
                <w:rFonts w:eastAsia="宋体" w:cs="Times New Roman"/>
                <w:sz w:val="24"/>
                <w:szCs w:val="24"/>
              </w:rPr>
            </w:pPr>
            <w:r>
              <w:rPr>
                <w:rFonts w:eastAsia="宋体" w:cs="Times New Roman"/>
                <w:sz w:val="24"/>
                <w:szCs w:val="24"/>
              </w:rPr>
              <w:t>通过上述措施，</w:t>
            </w:r>
            <w:r>
              <w:rPr>
                <w:rFonts w:hint="eastAsia" w:eastAsia="宋体" w:cs="Times New Roman"/>
                <w:sz w:val="24"/>
                <w:szCs w:val="24"/>
              </w:rPr>
              <w:t>乌海银行</w:t>
            </w:r>
            <w:r>
              <w:rPr>
                <w:rFonts w:eastAsia="宋体" w:cs="Times New Roman"/>
                <w:sz w:val="24"/>
                <w:szCs w:val="24"/>
              </w:rPr>
              <w:t>在日常运营中有效降低对水、电、纸张等自然资源的依赖与消耗，减少温室气体排放及环境影响，不仅提升了成本管控能力，也增强了对资源约束与环境政策变化的适应能力，为实现长期稳健经营与可持续发展奠定基础。</w:t>
            </w:r>
          </w:p>
        </w:tc>
      </w:tr>
    </w:tbl>
    <w:p w14:paraId="1E316C7D">
      <w:pPr>
        <w:widowControl w:val="0"/>
        <w:autoSpaceDE w:val="0"/>
        <w:autoSpaceDN w:val="0"/>
        <w:adjustRightInd w:val="0"/>
        <w:spacing w:after="200" w:line="276" w:lineRule="auto"/>
        <w:ind w:firstLine="480"/>
        <w:rPr>
          <w:rFonts w:eastAsia="宋体" w:cs="Times New Roman"/>
          <w:color w:val="000000"/>
          <w:sz w:val="24"/>
          <w:szCs w:val="24"/>
        </w:rPr>
      </w:pPr>
      <w:bookmarkStart w:id="203" w:name="_Toc31103"/>
      <w:r>
        <w:rPr>
          <w:rFonts w:eastAsia="宋体" w:cs="Times New Roman"/>
          <w:color w:val="000000"/>
          <w:sz w:val="24"/>
          <w:szCs w:val="24"/>
        </w:rPr>
        <w:br w:type="page"/>
      </w:r>
    </w:p>
    <w:p w14:paraId="09C4FE21">
      <w:pPr>
        <w:keepNext/>
        <w:keepLines/>
        <w:numPr>
          <w:ilvl w:val="0"/>
          <w:numId w:val="1"/>
        </w:numPr>
        <w:ind w:firstLine="200" w:firstLineChars="0"/>
        <w:outlineLvl w:val="0"/>
        <w:rPr>
          <w:rFonts w:eastAsia="宋体" w:cs="Times New Roman"/>
          <w:b/>
          <w:bCs/>
          <w:szCs w:val="28"/>
        </w:rPr>
      </w:pPr>
      <w:bookmarkStart w:id="204" w:name="_Toc58"/>
      <w:bookmarkStart w:id="205" w:name="_Toc225235196"/>
      <w:bookmarkStart w:id="206" w:name="_Toc23935"/>
      <w:r>
        <w:rPr>
          <w:rFonts w:eastAsia="宋体" w:cs="Times New Roman"/>
          <w:b/>
          <w:bCs/>
          <w:szCs w:val="28"/>
        </w:rPr>
        <w:t>指标和目标</w:t>
      </w:r>
      <w:bookmarkEnd w:id="201"/>
      <w:bookmarkEnd w:id="203"/>
      <w:bookmarkEnd w:id="204"/>
      <w:bookmarkEnd w:id="205"/>
      <w:bookmarkEnd w:id="206"/>
    </w:p>
    <w:bookmarkEnd w:id="202"/>
    <w:p w14:paraId="664E1F6D">
      <w:pPr>
        <w:keepNext/>
        <w:keepLines/>
        <w:numPr>
          <w:ilvl w:val="1"/>
          <w:numId w:val="1"/>
        </w:numPr>
        <w:ind w:firstLine="200" w:firstLineChars="0"/>
        <w:outlineLvl w:val="1"/>
        <w:rPr>
          <w:rFonts w:eastAsia="宋体" w:cs="Times New Roman"/>
          <w:b/>
          <w:bCs/>
          <w:szCs w:val="26"/>
        </w:rPr>
      </w:pPr>
      <w:bookmarkStart w:id="207" w:name="_Toc29903"/>
      <w:bookmarkStart w:id="208" w:name="_Toc225235197"/>
      <w:bookmarkStart w:id="209" w:name="_Toc2690"/>
      <w:bookmarkStart w:id="210" w:name="_Toc13693"/>
      <w:bookmarkStart w:id="211" w:name="_Toc8852"/>
      <w:r>
        <w:rPr>
          <w:rFonts w:eastAsia="宋体" w:cs="Times New Roman"/>
          <w:b/>
          <w:bCs/>
          <w:szCs w:val="26"/>
        </w:rPr>
        <w:t>自然相关依赖与影响、风险与机遇指标</w:t>
      </w:r>
      <w:bookmarkEnd w:id="207"/>
      <w:bookmarkEnd w:id="208"/>
      <w:bookmarkEnd w:id="209"/>
      <w:bookmarkEnd w:id="210"/>
      <w:bookmarkEnd w:id="211"/>
    </w:p>
    <w:p w14:paraId="59FE53B4">
      <w:pPr>
        <w:spacing w:after="120"/>
        <w:ind w:firstLine="560"/>
        <w:rPr>
          <w:rFonts w:eastAsia="宋体" w:cs="Times New Roman"/>
        </w:rPr>
      </w:pPr>
      <w:r>
        <w:rPr>
          <w:rFonts w:hint="eastAsia" w:eastAsia="宋体" w:cs="Times New Roman"/>
        </w:rPr>
        <w:t>乌海银行</w:t>
      </w:r>
      <w:r>
        <w:rPr>
          <w:rFonts w:eastAsia="宋体" w:cs="Times New Roman"/>
        </w:rPr>
        <w:t>基于TNFD《自然相关财务信息披露建议》及《金融机构附加披露指南》框架，系统评估经营活动对自然生态系统的依赖关系、影响程度及风险机遇水平，识别出电力消耗、水资源使用、办公用纸、公务用车等运营端关键环境足迹环节，以及信贷资产配置中的自然相关转型风险敞口、物理风险敞口、高依赖高影响行业集中度、绿色融资机遇、生物多样性保护机遇等业务端核心维度，建立自然相关指标体系，并逐步完善相关指标的核算方法与数据质量。</w:t>
      </w:r>
    </w:p>
    <w:p w14:paraId="67734F59">
      <w:pPr>
        <w:keepNext/>
        <w:keepLines/>
        <w:numPr>
          <w:ilvl w:val="2"/>
          <w:numId w:val="1"/>
        </w:numPr>
        <w:ind w:firstLine="200" w:firstLineChars="0"/>
        <w:outlineLvl w:val="2"/>
        <w:rPr>
          <w:rFonts w:eastAsia="宋体" w:cs="Times New Roman"/>
          <w:b/>
          <w:bCs/>
        </w:rPr>
      </w:pPr>
      <w:r>
        <w:rPr>
          <w:rFonts w:eastAsia="宋体" w:cs="Times New Roman"/>
          <w:b/>
          <w:bCs/>
        </w:rPr>
        <w:t>依赖与影响指标</w:t>
      </w:r>
    </w:p>
    <w:p w14:paraId="74C0AE88">
      <w:pPr>
        <w:keepNext/>
        <w:ind w:firstLine="482"/>
        <w:jc w:val="center"/>
        <w:rPr>
          <w:rFonts w:eastAsia="宋体" w:cs="Times New Roman"/>
          <w:b/>
          <w:bCs/>
          <w:sz w:val="24"/>
          <w:szCs w:val="18"/>
        </w:rPr>
      </w:pPr>
      <w:r>
        <w:rPr>
          <w:rFonts w:hint="eastAsia" w:eastAsia="宋体" w:cs="Times New Roman"/>
          <w:b/>
          <w:bCs/>
          <w:sz w:val="24"/>
          <w:szCs w:val="18"/>
        </w:rPr>
        <w:t>表</w:t>
      </w:r>
      <w:r>
        <w:rPr>
          <w:rFonts w:eastAsia="宋体" w:cs="Times New Roman"/>
          <w:b/>
          <w:bCs/>
          <w:sz w:val="24"/>
          <w:szCs w:val="18"/>
        </w:rPr>
        <w:t>9</w:t>
      </w:r>
      <w:r>
        <w:rPr>
          <w:rFonts w:hint="eastAsia" w:eastAsia="宋体" w:cs="Times New Roman"/>
          <w:b/>
          <w:bCs/>
          <w:sz w:val="24"/>
          <w:szCs w:val="18"/>
        </w:rPr>
        <w:t>.乌海银行</w:t>
      </w:r>
      <w:r>
        <w:rPr>
          <w:rFonts w:eastAsia="宋体" w:cs="Times New Roman"/>
          <w:b/>
          <w:bCs/>
          <w:sz w:val="24"/>
          <w:szCs w:val="18"/>
        </w:rPr>
        <w:t>自然相关依赖与影响指标</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9"/>
        <w:gridCol w:w="4452"/>
        <w:gridCol w:w="1355"/>
        <w:tblGridChange w:id="1">
          <w:tblGrid>
            <w:gridCol w:w="2489"/>
            <w:gridCol w:w="4271"/>
            <w:gridCol w:w="181"/>
            <w:gridCol w:w="1355"/>
          </w:tblGrid>
        </w:tblGridChange>
      </w:tblGrid>
      <w:tr w14:paraId="2B97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shd w:val="clear" w:color="auto" w:fill="44546A"/>
            <w:vAlign w:val="center"/>
          </w:tcPr>
          <w:p w14:paraId="0086F78E">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自然变化的驱动因素</w:t>
            </w:r>
          </w:p>
        </w:tc>
        <w:tc>
          <w:tcPr>
            <w:tcW w:w="4452" w:type="dxa"/>
            <w:shd w:val="clear" w:color="auto" w:fill="44546A"/>
            <w:vAlign w:val="center"/>
          </w:tcPr>
          <w:p w14:paraId="4D888A75">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指标</w:t>
            </w:r>
          </w:p>
        </w:tc>
        <w:tc>
          <w:tcPr>
            <w:tcW w:w="1355" w:type="dxa"/>
            <w:shd w:val="clear" w:color="auto" w:fill="44546A"/>
            <w:vAlign w:val="center"/>
          </w:tcPr>
          <w:p w14:paraId="2B11531E">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数据</w:t>
            </w:r>
          </w:p>
        </w:tc>
      </w:tr>
      <w:tr w14:paraId="3EAB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restart"/>
            <w:vAlign w:val="center"/>
          </w:tcPr>
          <w:p w14:paraId="57285300">
            <w:pPr>
              <w:widowControl/>
              <w:snapToGrid/>
              <w:spacing w:line="240" w:lineRule="auto"/>
              <w:ind w:firstLine="0" w:firstLineChars="0"/>
              <w:jc w:val="center"/>
              <w:rPr>
                <w:rFonts w:eastAsia="宋体" w:cs="Times New Roman"/>
                <w:sz w:val="24"/>
                <w:szCs w:val="24"/>
              </w:rPr>
            </w:pPr>
            <w:r>
              <w:rPr>
                <w:rFonts w:eastAsia="宋体" w:cs="Times New Roman"/>
                <w:sz w:val="24"/>
                <w:szCs w:val="24"/>
              </w:rPr>
              <w:t>气候变化</w:t>
            </w:r>
          </w:p>
        </w:tc>
        <w:tc>
          <w:tcPr>
            <w:tcW w:w="4452" w:type="dxa"/>
            <w:vAlign w:val="center"/>
          </w:tcPr>
          <w:p w14:paraId="36E284FE">
            <w:pPr>
              <w:widowControl/>
              <w:snapToGrid/>
              <w:spacing w:line="240" w:lineRule="auto"/>
              <w:ind w:firstLine="0" w:firstLineChars="0"/>
              <w:jc w:val="center"/>
              <w:rPr>
                <w:rFonts w:eastAsia="宋体" w:cs="Times New Roman"/>
                <w:sz w:val="24"/>
                <w:szCs w:val="24"/>
              </w:rPr>
            </w:pPr>
            <w:r>
              <w:rPr>
                <w:rFonts w:eastAsia="宋体" w:cs="Times New Roman"/>
                <w:sz w:val="24"/>
                <w:szCs w:val="24"/>
              </w:rPr>
              <w:t>温室气体总排放量（tCO</w:t>
            </w:r>
            <w:r>
              <w:rPr>
                <w:rFonts w:eastAsia="宋体" w:cs="Times New Roman"/>
                <w:sz w:val="24"/>
                <w:szCs w:val="24"/>
                <w:vertAlign w:val="subscript"/>
              </w:rPr>
              <w:t>2</w:t>
            </w:r>
            <w:r>
              <w:rPr>
                <w:rFonts w:eastAsia="宋体" w:cs="Times New Roman"/>
                <w:sz w:val="24"/>
                <w:szCs w:val="24"/>
              </w:rPr>
              <w:t>e）</w:t>
            </w:r>
          </w:p>
        </w:tc>
        <w:tc>
          <w:tcPr>
            <w:tcW w:w="1355" w:type="dxa"/>
            <w:vAlign w:val="center"/>
          </w:tcPr>
          <w:p w14:paraId="60337556">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2</w:t>
            </w:r>
            <w:r>
              <w:rPr>
                <w:rFonts w:hint="eastAsia" w:eastAsia="宋体" w:cs="Times New Roman"/>
                <w:sz w:val="24"/>
                <w:szCs w:val="24"/>
              </w:rPr>
              <w:t>,</w:t>
            </w:r>
            <w:r>
              <w:rPr>
                <w:rFonts w:eastAsia="宋体" w:cs="Times New Roman"/>
                <w:sz w:val="24"/>
                <w:szCs w:val="24"/>
              </w:rPr>
              <w:t>718</w:t>
            </w:r>
            <w:r>
              <w:rPr>
                <w:rFonts w:hint="eastAsia" w:eastAsia="宋体" w:cs="Times New Roman"/>
                <w:sz w:val="24"/>
                <w:szCs w:val="24"/>
              </w:rPr>
              <w:t>.</w:t>
            </w:r>
            <w:r>
              <w:rPr>
                <w:rFonts w:eastAsia="宋体" w:cs="Times New Roman"/>
                <w:sz w:val="24"/>
                <w:szCs w:val="24"/>
              </w:rPr>
              <w:t>66</w:t>
            </w:r>
          </w:p>
        </w:tc>
      </w:tr>
      <w:tr w14:paraId="1086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2489" w:type="dxa"/>
            <w:vMerge w:val="continue"/>
            <w:vAlign w:val="center"/>
          </w:tcPr>
          <w:p w14:paraId="00C1CEEE">
            <w:pPr>
              <w:widowControl/>
              <w:snapToGrid/>
              <w:spacing w:line="240" w:lineRule="auto"/>
              <w:ind w:firstLine="0" w:firstLineChars="0"/>
              <w:jc w:val="center"/>
              <w:rPr>
                <w:rFonts w:eastAsia="宋体" w:cs="Times New Roman"/>
                <w:sz w:val="24"/>
                <w:szCs w:val="24"/>
              </w:rPr>
            </w:pPr>
          </w:p>
        </w:tc>
        <w:tc>
          <w:tcPr>
            <w:tcW w:w="4452" w:type="dxa"/>
            <w:vAlign w:val="center"/>
          </w:tcPr>
          <w:p w14:paraId="219B33CB">
            <w:pPr>
              <w:widowControl/>
              <w:snapToGrid/>
              <w:spacing w:line="240" w:lineRule="auto"/>
              <w:ind w:firstLine="0" w:firstLineChars="0"/>
              <w:jc w:val="center"/>
              <w:rPr>
                <w:rFonts w:eastAsia="宋体" w:cs="Times New Roman"/>
                <w:sz w:val="24"/>
                <w:szCs w:val="24"/>
              </w:rPr>
            </w:pPr>
            <w:r>
              <w:rPr>
                <w:rFonts w:eastAsia="宋体" w:cs="Times New Roman"/>
                <w:sz w:val="24"/>
                <w:szCs w:val="24"/>
              </w:rPr>
              <w:t>范围一</w:t>
            </w:r>
            <w:r>
              <w:rPr>
                <w:rFonts w:eastAsia="宋体" w:cs="Times New Roman"/>
                <w:sz w:val="24"/>
                <w:szCs w:val="24"/>
                <w:vertAlign w:val="superscript"/>
              </w:rPr>
              <w:t>1</w:t>
            </w:r>
            <w:r>
              <w:rPr>
                <w:rFonts w:eastAsia="宋体" w:cs="Times New Roman"/>
                <w:sz w:val="24"/>
                <w:szCs w:val="24"/>
              </w:rPr>
              <w:t>（tCO</w:t>
            </w:r>
            <w:r>
              <w:rPr>
                <w:rFonts w:eastAsia="宋体" w:cs="Times New Roman"/>
                <w:sz w:val="24"/>
                <w:szCs w:val="24"/>
                <w:vertAlign w:val="subscript"/>
              </w:rPr>
              <w:t>2</w:t>
            </w:r>
            <w:r>
              <w:rPr>
                <w:rFonts w:eastAsia="宋体" w:cs="Times New Roman"/>
                <w:sz w:val="24"/>
                <w:szCs w:val="24"/>
              </w:rPr>
              <w:t>e）</w:t>
            </w:r>
          </w:p>
        </w:tc>
        <w:tc>
          <w:tcPr>
            <w:tcW w:w="1355" w:type="dxa"/>
            <w:vAlign w:val="center"/>
          </w:tcPr>
          <w:p w14:paraId="01823B73">
            <w:pPr>
              <w:widowControl w:val="0"/>
              <w:snapToGrid/>
              <w:spacing w:line="240" w:lineRule="auto"/>
              <w:ind w:firstLine="0" w:firstLineChars="0"/>
              <w:jc w:val="center"/>
              <w:rPr>
                <w:rFonts w:eastAsia="宋体" w:cs="Times New Roman"/>
                <w:sz w:val="24"/>
                <w:szCs w:val="24"/>
                <w:lang w:bidi="ar"/>
              </w:rPr>
            </w:pPr>
            <w:r>
              <w:rPr>
                <w:rFonts w:eastAsia="宋体" w:cs="Times New Roman"/>
                <w:sz w:val="24"/>
                <w:szCs w:val="24"/>
                <w:lang w:bidi="ar"/>
              </w:rPr>
              <w:t>130</w:t>
            </w:r>
            <w:r>
              <w:rPr>
                <w:rFonts w:hint="eastAsia" w:eastAsia="宋体" w:cs="Times New Roman"/>
                <w:sz w:val="24"/>
                <w:szCs w:val="24"/>
                <w:lang w:bidi="ar"/>
              </w:rPr>
              <w:t>.</w:t>
            </w:r>
            <w:r>
              <w:rPr>
                <w:rFonts w:eastAsia="宋体" w:cs="Times New Roman"/>
                <w:sz w:val="24"/>
                <w:szCs w:val="24"/>
                <w:lang w:bidi="ar"/>
              </w:rPr>
              <w:t>81</w:t>
            </w:r>
          </w:p>
        </w:tc>
      </w:tr>
      <w:tr w14:paraId="59D6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3C392E24">
            <w:pPr>
              <w:widowControl/>
              <w:snapToGrid/>
              <w:spacing w:line="240" w:lineRule="auto"/>
              <w:ind w:firstLine="0" w:firstLineChars="0"/>
              <w:jc w:val="center"/>
              <w:rPr>
                <w:rFonts w:eastAsia="宋体" w:cs="Times New Roman"/>
                <w:sz w:val="24"/>
                <w:szCs w:val="24"/>
              </w:rPr>
            </w:pPr>
          </w:p>
        </w:tc>
        <w:tc>
          <w:tcPr>
            <w:tcW w:w="4452" w:type="dxa"/>
            <w:vAlign w:val="center"/>
          </w:tcPr>
          <w:p w14:paraId="0F02EE2A">
            <w:pPr>
              <w:widowControl/>
              <w:snapToGrid/>
              <w:spacing w:line="240" w:lineRule="auto"/>
              <w:ind w:firstLine="0" w:firstLineChars="0"/>
              <w:jc w:val="center"/>
              <w:rPr>
                <w:rFonts w:eastAsia="宋体" w:cs="Times New Roman"/>
                <w:sz w:val="24"/>
                <w:szCs w:val="24"/>
              </w:rPr>
            </w:pPr>
            <w:r>
              <w:rPr>
                <w:rFonts w:eastAsia="宋体" w:cs="Times New Roman"/>
                <w:sz w:val="24"/>
                <w:szCs w:val="24"/>
              </w:rPr>
              <w:t>范围二</w:t>
            </w:r>
            <w:r>
              <w:rPr>
                <w:rFonts w:eastAsia="宋体" w:cs="Times New Roman"/>
                <w:sz w:val="24"/>
                <w:szCs w:val="24"/>
                <w:vertAlign w:val="superscript"/>
              </w:rPr>
              <w:t>2</w:t>
            </w:r>
            <w:r>
              <w:rPr>
                <w:rFonts w:eastAsia="宋体" w:cs="Times New Roman"/>
                <w:sz w:val="24"/>
                <w:szCs w:val="24"/>
              </w:rPr>
              <w:t>（tCO</w:t>
            </w:r>
            <w:r>
              <w:rPr>
                <w:rFonts w:eastAsia="宋体" w:cs="Times New Roman"/>
                <w:sz w:val="24"/>
                <w:szCs w:val="24"/>
                <w:vertAlign w:val="subscript"/>
              </w:rPr>
              <w:t>2</w:t>
            </w:r>
            <w:r>
              <w:rPr>
                <w:rFonts w:eastAsia="宋体" w:cs="Times New Roman"/>
                <w:sz w:val="24"/>
                <w:szCs w:val="24"/>
              </w:rPr>
              <w:t>e）</w:t>
            </w:r>
          </w:p>
        </w:tc>
        <w:tc>
          <w:tcPr>
            <w:tcW w:w="1355" w:type="dxa"/>
            <w:vAlign w:val="center"/>
          </w:tcPr>
          <w:p w14:paraId="032C291F">
            <w:pPr>
              <w:widowControl w:val="0"/>
              <w:snapToGrid/>
              <w:spacing w:line="240" w:lineRule="auto"/>
              <w:ind w:firstLine="0" w:firstLineChars="0"/>
              <w:jc w:val="center"/>
              <w:rPr>
                <w:rFonts w:eastAsia="宋体" w:cs="Times New Roman"/>
                <w:sz w:val="24"/>
                <w:szCs w:val="24"/>
                <w:lang w:bidi="ar"/>
              </w:rPr>
            </w:pPr>
            <w:r>
              <w:rPr>
                <w:rFonts w:eastAsia="宋体" w:cs="Times New Roman"/>
                <w:sz w:val="24"/>
                <w:szCs w:val="24"/>
                <w:lang w:bidi="ar"/>
              </w:rPr>
              <w:t>2,505</w:t>
            </w:r>
            <w:r>
              <w:rPr>
                <w:rFonts w:hint="eastAsia" w:eastAsia="宋体" w:cs="Times New Roman"/>
                <w:sz w:val="24"/>
                <w:szCs w:val="24"/>
                <w:lang w:bidi="ar"/>
              </w:rPr>
              <w:t>.</w:t>
            </w:r>
            <w:r>
              <w:rPr>
                <w:rFonts w:eastAsia="宋体" w:cs="Times New Roman"/>
                <w:sz w:val="24"/>
                <w:szCs w:val="24"/>
                <w:lang w:bidi="ar"/>
              </w:rPr>
              <w:t>23</w:t>
            </w:r>
          </w:p>
        </w:tc>
      </w:tr>
      <w:tr w14:paraId="6957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4149C71E">
            <w:pPr>
              <w:widowControl/>
              <w:snapToGrid/>
              <w:spacing w:line="240" w:lineRule="auto"/>
              <w:ind w:firstLine="0" w:firstLineChars="0"/>
              <w:jc w:val="center"/>
              <w:rPr>
                <w:rFonts w:eastAsia="宋体" w:cs="Times New Roman"/>
                <w:sz w:val="24"/>
                <w:szCs w:val="24"/>
              </w:rPr>
            </w:pPr>
          </w:p>
        </w:tc>
        <w:tc>
          <w:tcPr>
            <w:tcW w:w="4452" w:type="dxa"/>
            <w:vAlign w:val="center"/>
          </w:tcPr>
          <w:p w14:paraId="6319A05C">
            <w:pPr>
              <w:widowControl/>
              <w:snapToGrid/>
              <w:spacing w:line="240" w:lineRule="auto"/>
              <w:ind w:firstLine="0" w:firstLineChars="0"/>
              <w:jc w:val="center"/>
              <w:rPr>
                <w:rFonts w:eastAsia="宋体" w:cs="Times New Roman"/>
                <w:sz w:val="24"/>
                <w:szCs w:val="24"/>
              </w:rPr>
            </w:pPr>
            <w:r>
              <w:rPr>
                <w:rFonts w:eastAsia="宋体" w:cs="Times New Roman"/>
                <w:sz w:val="24"/>
                <w:szCs w:val="24"/>
              </w:rPr>
              <w:t>范围三</w:t>
            </w:r>
            <w:r>
              <w:rPr>
                <w:rFonts w:eastAsia="宋体" w:cs="Times New Roman"/>
                <w:sz w:val="24"/>
                <w:szCs w:val="24"/>
                <w:vertAlign w:val="superscript"/>
              </w:rPr>
              <w:t>3</w:t>
            </w:r>
            <w:r>
              <w:rPr>
                <w:rFonts w:eastAsia="宋体" w:cs="Times New Roman"/>
                <w:sz w:val="24"/>
                <w:szCs w:val="24"/>
              </w:rPr>
              <w:t>（tCO</w:t>
            </w:r>
            <w:r>
              <w:rPr>
                <w:rFonts w:eastAsia="宋体" w:cs="Times New Roman"/>
                <w:sz w:val="24"/>
                <w:szCs w:val="24"/>
                <w:vertAlign w:val="subscript"/>
              </w:rPr>
              <w:t>2</w:t>
            </w:r>
            <w:r>
              <w:rPr>
                <w:rFonts w:eastAsia="宋体" w:cs="Times New Roman"/>
                <w:sz w:val="24"/>
                <w:szCs w:val="24"/>
              </w:rPr>
              <w:t>e）</w:t>
            </w:r>
          </w:p>
        </w:tc>
        <w:tc>
          <w:tcPr>
            <w:tcW w:w="1355" w:type="dxa"/>
            <w:vAlign w:val="center"/>
          </w:tcPr>
          <w:p w14:paraId="3513FDB9">
            <w:pPr>
              <w:widowControl w:val="0"/>
              <w:snapToGrid/>
              <w:spacing w:line="240" w:lineRule="auto"/>
              <w:ind w:firstLine="0" w:firstLineChars="0"/>
              <w:jc w:val="center"/>
              <w:rPr>
                <w:rFonts w:eastAsia="宋体" w:cs="Times New Roman"/>
                <w:sz w:val="24"/>
                <w:szCs w:val="24"/>
                <w:lang w:bidi="ar"/>
              </w:rPr>
            </w:pPr>
            <w:r>
              <w:rPr>
                <w:rFonts w:eastAsia="宋体" w:cs="Times New Roman"/>
                <w:sz w:val="24"/>
                <w:szCs w:val="24"/>
                <w:lang w:bidi="ar"/>
              </w:rPr>
              <w:t>82.62</w:t>
            </w:r>
          </w:p>
        </w:tc>
      </w:tr>
      <w:tr w14:paraId="5FEC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2A820B31">
            <w:pPr>
              <w:widowControl/>
              <w:snapToGrid/>
              <w:spacing w:line="240" w:lineRule="auto"/>
              <w:ind w:firstLine="480" w:firstLineChars="0"/>
              <w:jc w:val="center"/>
              <w:rPr>
                <w:rFonts w:eastAsia="宋体" w:cs="Times New Roman"/>
                <w:sz w:val="24"/>
                <w:szCs w:val="24"/>
              </w:rPr>
            </w:pPr>
          </w:p>
        </w:tc>
        <w:tc>
          <w:tcPr>
            <w:tcW w:w="4452" w:type="dxa"/>
            <w:vAlign w:val="center"/>
          </w:tcPr>
          <w:p w14:paraId="6ACE08BA">
            <w:pPr>
              <w:widowControl/>
              <w:snapToGrid/>
              <w:spacing w:line="240" w:lineRule="auto"/>
              <w:ind w:firstLine="0" w:firstLineChars="0"/>
              <w:jc w:val="center"/>
              <w:rPr>
                <w:rFonts w:eastAsia="宋体" w:cs="Times New Roman"/>
                <w:sz w:val="24"/>
                <w:szCs w:val="24"/>
              </w:rPr>
            </w:pPr>
            <w:r>
              <w:rPr>
                <w:rFonts w:eastAsia="宋体" w:cs="Times New Roman"/>
                <w:sz w:val="24"/>
                <w:szCs w:val="24"/>
              </w:rPr>
              <w:t>人均温室气体排放量（tCO</w:t>
            </w:r>
            <w:r>
              <w:rPr>
                <w:rFonts w:eastAsia="宋体" w:cs="Times New Roman"/>
                <w:sz w:val="24"/>
                <w:szCs w:val="24"/>
                <w:vertAlign w:val="subscript"/>
              </w:rPr>
              <w:t>2</w:t>
            </w:r>
            <w:r>
              <w:rPr>
                <w:rFonts w:eastAsia="宋体" w:cs="Times New Roman"/>
                <w:sz w:val="24"/>
                <w:szCs w:val="24"/>
              </w:rPr>
              <w:t>e/人）</w:t>
            </w:r>
          </w:p>
        </w:tc>
        <w:tc>
          <w:tcPr>
            <w:tcW w:w="1355" w:type="dxa"/>
            <w:vAlign w:val="center"/>
          </w:tcPr>
          <w:p w14:paraId="76A719DC">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5</w:t>
            </w:r>
            <w:r>
              <w:rPr>
                <w:rFonts w:hint="eastAsia" w:eastAsia="宋体" w:cs="Times New Roman"/>
                <w:sz w:val="24"/>
                <w:szCs w:val="24"/>
              </w:rPr>
              <w:t>.</w:t>
            </w:r>
            <w:r>
              <w:rPr>
                <w:rFonts w:eastAsia="宋体" w:cs="Times New Roman"/>
                <w:sz w:val="24"/>
                <w:szCs w:val="24"/>
              </w:rPr>
              <w:t>17</w:t>
            </w:r>
          </w:p>
        </w:tc>
      </w:tr>
      <w:tr w14:paraId="3E62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restart"/>
            <w:vAlign w:val="center"/>
          </w:tcPr>
          <w:p w14:paraId="58AC099E">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污染/污染清除</w:t>
            </w:r>
            <w:r>
              <w:rPr>
                <w:rFonts w:eastAsia="宋体" w:cs="Times New Roman"/>
                <w:sz w:val="24"/>
                <w:szCs w:val="24"/>
                <w:vertAlign w:val="superscript"/>
              </w:rPr>
              <w:t>4</w:t>
            </w:r>
          </w:p>
        </w:tc>
        <w:tc>
          <w:tcPr>
            <w:tcW w:w="4452" w:type="dxa"/>
            <w:vAlign w:val="center"/>
          </w:tcPr>
          <w:p w14:paraId="4397C9D0">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废旧电脑产生量（台）</w:t>
            </w:r>
          </w:p>
        </w:tc>
        <w:tc>
          <w:tcPr>
            <w:tcW w:w="1355" w:type="dxa"/>
            <w:vAlign w:val="center"/>
          </w:tcPr>
          <w:p w14:paraId="103037BE">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0</w:t>
            </w:r>
          </w:p>
        </w:tc>
      </w:tr>
      <w:tr w14:paraId="3D55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77FB3AAF">
            <w:pPr>
              <w:widowControl w:val="0"/>
              <w:snapToGrid/>
              <w:spacing w:line="240" w:lineRule="auto"/>
              <w:ind w:firstLine="0" w:firstLineChars="0"/>
              <w:jc w:val="center"/>
              <w:rPr>
                <w:rFonts w:eastAsia="宋体" w:cs="Times New Roman"/>
                <w:sz w:val="24"/>
                <w:szCs w:val="24"/>
              </w:rPr>
            </w:pPr>
          </w:p>
        </w:tc>
        <w:tc>
          <w:tcPr>
            <w:tcW w:w="4452" w:type="dxa"/>
            <w:vAlign w:val="center"/>
          </w:tcPr>
          <w:p w14:paraId="5496F115">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废旧碳粉盒产生量（个）</w:t>
            </w:r>
          </w:p>
        </w:tc>
        <w:tc>
          <w:tcPr>
            <w:tcW w:w="1355" w:type="dxa"/>
            <w:vAlign w:val="center"/>
          </w:tcPr>
          <w:p w14:paraId="305EE3B0">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0</w:t>
            </w:r>
          </w:p>
        </w:tc>
      </w:tr>
      <w:tr w14:paraId="5613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772CACFB">
            <w:pPr>
              <w:widowControl w:val="0"/>
              <w:snapToGrid/>
              <w:spacing w:line="240" w:lineRule="auto"/>
              <w:ind w:firstLine="0" w:firstLineChars="0"/>
              <w:jc w:val="center"/>
              <w:rPr>
                <w:rFonts w:eastAsia="宋体" w:cs="Times New Roman"/>
                <w:sz w:val="24"/>
                <w:szCs w:val="24"/>
              </w:rPr>
            </w:pPr>
          </w:p>
        </w:tc>
        <w:tc>
          <w:tcPr>
            <w:tcW w:w="4452" w:type="dxa"/>
            <w:vAlign w:val="center"/>
          </w:tcPr>
          <w:p w14:paraId="180EB20F">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废旧电池产生量（件）</w:t>
            </w:r>
          </w:p>
        </w:tc>
        <w:tc>
          <w:tcPr>
            <w:tcW w:w="1355" w:type="dxa"/>
            <w:vAlign w:val="center"/>
          </w:tcPr>
          <w:p w14:paraId="6CF8E4E3">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0</w:t>
            </w:r>
          </w:p>
        </w:tc>
      </w:tr>
      <w:tr w14:paraId="7D70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restart"/>
            <w:vAlign w:val="center"/>
          </w:tcPr>
          <w:p w14:paraId="03B389B9">
            <w:pPr>
              <w:widowControl/>
              <w:snapToGrid/>
              <w:spacing w:line="240" w:lineRule="auto"/>
              <w:ind w:firstLine="0" w:firstLineChars="0"/>
              <w:jc w:val="center"/>
              <w:rPr>
                <w:rFonts w:eastAsia="宋体" w:cs="Times New Roman"/>
                <w:sz w:val="24"/>
                <w:szCs w:val="24"/>
              </w:rPr>
            </w:pPr>
            <w:r>
              <w:rPr>
                <w:rFonts w:eastAsia="宋体" w:cs="Times New Roman"/>
                <w:sz w:val="24"/>
                <w:szCs w:val="24"/>
              </w:rPr>
              <w:t>资源使用</w:t>
            </w:r>
          </w:p>
        </w:tc>
        <w:tc>
          <w:tcPr>
            <w:tcW w:w="4452" w:type="dxa"/>
            <w:vAlign w:val="center"/>
          </w:tcPr>
          <w:p w14:paraId="02820BE9">
            <w:pPr>
              <w:widowControl/>
              <w:snapToGrid/>
              <w:spacing w:line="240" w:lineRule="auto"/>
              <w:ind w:firstLine="0" w:firstLineChars="0"/>
              <w:jc w:val="center"/>
              <w:rPr>
                <w:rFonts w:eastAsia="宋体" w:cs="Times New Roman"/>
                <w:sz w:val="24"/>
                <w:szCs w:val="24"/>
              </w:rPr>
            </w:pPr>
            <w:r>
              <w:rPr>
                <w:rFonts w:eastAsia="宋体" w:cs="Times New Roman"/>
                <w:sz w:val="24"/>
                <w:szCs w:val="24"/>
              </w:rPr>
              <w:t>营业、办公活动用水</w:t>
            </w:r>
            <w:r>
              <w:rPr>
                <w:rFonts w:eastAsia="宋体" w:cs="Times New Roman"/>
                <w:sz w:val="24"/>
                <w:szCs w:val="24"/>
                <w:vertAlign w:val="superscript"/>
              </w:rPr>
              <w:t>5</w:t>
            </w:r>
            <w:r>
              <w:rPr>
                <w:rFonts w:eastAsia="宋体" w:cs="Times New Roman"/>
                <w:sz w:val="24"/>
                <w:szCs w:val="24"/>
              </w:rPr>
              <w:t>（吨）</w:t>
            </w:r>
          </w:p>
        </w:tc>
        <w:tc>
          <w:tcPr>
            <w:tcW w:w="1355" w:type="dxa"/>
            <w:vAlign w:val="center"/>
          </w:tcPr>
          <w:p w14:paraId="7ADE163E">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3</w:t>
            </w:r>
            <w:r>
              <w:rPr>
                <w:rFonts w:hint="eastAsia" w:eastAsia="宋体" w:cs="Times New Roman"/>
                <w:sz w:val="24"/>
                <w:szCs w:val="24"/>
              </w:rPr>
              <w:t>,</w:t>
            </w:r>
            <w:r>
              <w:rPr>
                <w:rFonts w:eastAsia="宋体" w:cs="Times New Roman"/>
                <w:sz w:val="24"/>
                <w:szCs w:val="24"/>
              </w:rPr>
              <w:t>100</w:t>
            </w:r>
          </w:p>
        </w:tc>
      </w:tr>
      <w:tr w14:paraId="2F98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6007109F">
            <w:pPr>
              <w:widowControl/>
              <w:snapToGrid/>
              <w:spacing w:line="240" w:lineRule="auto"/>
              <w:ind w:firstLine="0" w:firstLineChars="0"/>
              <w:jc w:val="center"/>
              <w:rPr>
                <w:rFonts w:eastAsia="宋体" w:cs="Times New Roman"/>
                <w:sz w:val="24"/>
                <w:szCs w:val="24"/>
              </w:rPr>
            </w:pPr>
          </w:p>
        </w:tc>
        <w:tc>
          <w:tcPr>
            <w:tcW w:w="4452" w:type="dxa"/>
            <w:vAlign w:val="center"/>
          </w:tcPr>
          <w:p w14:paraId="7EAB6C19">
            <w:pPr>
              <w:widowControl/>
              <w:snapToGrid/>
              <w:spacing w:line="240" w:lineRule="auto"/>
              <w:ind w:firstLine="0" w:firstLineChars="0"/>
              <w:jc w:val="center"/>
              <w:rPr>
                <w:rFonts w:eastAsia="宋体" w:cs="Times New Roman"/>
                <w:sz w:val="24"/>
                <w:szCs w:val="24"/>
              </w:rPr>
            </w:pPr>
            <w:r>
              <w:rPr>
                <w:rFonts w:eastAsia="宋体" w:cs="Times New Roman"/>
                <w:sz w:val="24"/>
                <w:szCs w:val="24"/>
              </w:rPr>
              <w:t>营业、办公活动用水强度（吨/人）</w:t>
            </w:r>
          </w:p>
        </w:tc>
        <w:tc>
          <w:tcPr>
            <w:tcW w:w="1355" w:type="dxa"/>
            <w:vAlign w:val="center"/>
          </w:tcPr>
          <w:p w14:paraId="421F4DFC">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5</w:t>
            </w:r>
            <w:r>
              <w:rPr>
                <w:rFonts w:hint="eastAsia" w:eastAsia="宋体" w:cs="Times New Roman"/>
                <w:sz w:val="24"/>
                <w:szCs w:val="24"/>
              </w:rPr>
              <w:t>.</w:t>
            </w:r>
            <w:r>
              <w:rPr>
                <w:rFonts w:eastAsia="宋体" w:cs="Times New Roman"/>
                <w:sz w:val="24"/>
                <w:szCs w:val="24"/>
              </w:rPr>
              <w:t>89</w:t>
            </w:r>
          </w:p>
        </w:tc>
      </w:tr>
      <w:tr w14:paraId="5A92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6DE012AF">
            <w:pPr>
              <w:widowControl/>
              <w:snapToGrid/>
              <w:spacing w:line="240" w:lineRule="auto"/>
              <w:ind w:firstLine="480" w:firstLineChars="0"/>
              <w:jc w:val="center"/>
              <w:rPr>
                <w:rFonts w:eastAsia="宋体" w:cs="Times New Roman"/>
                <w:sz w:val="24"/>
                <w:szCs w:val="24"/>
              </w:rPr>
            </w:pPr>
          </w:p>
        </w:tc>
        <w:tc>
          <w:tcPr>
            <w:tcW w:w="4452" w:type="dxa"/>
            <w:vAlign w:val="center"/>
          </w:tcPr>
          <w:p w14:paraId="3B266A22">
            <w:pPr>
              <w:widowControl/>
              <w:snapToGrid/>
              <w:spacing w:line="240" w:lineRule="auto"/>
              <w:ind w:firstLine="0" w:firstLineChars="0"/>
              <w:jc w:val="center"/>
              <w:rPr>
                <w:rFonts w:eastAsia="宋体" w:cs="Times New Roman"/>
                <w:sz w:val="24"/>
                <w:szCs w:val="24"/>
              </w:rPr>
            </w:pPr>
            <w:r>
              <w:rPr>
                <w:rFonts w:eastAsia="宋体" w:cs="Times New Roman"/>
                <w:sz w:val="24"/>
                <w:szCs w:val="24"/>
              </w:rPr>
              <w:t>营业、办公消耗纸张（</w:t>
            </w:r>
            <w:r>
              <w:rPr>
                <w:rFonts w:hint="eastAsia" w:eastAsia="宋体" w:cs="Times New Roman"/>
                <w:sz w:val="24"/>
                <w:szCs w:val="24"/>
              </w:rPr>
              <w:t>吨</w:t>
            </w:r>
            <w:r>
              <w:rPr>
                <w:rFonts w:eastAsia="宋体" w:cs="Times New Roman"/>
                <w:sz w:val="24"/>
                <w:szCs w:val="24"/>
              </w:rPr>
              <w:t>）</w:t>
            </w:r>
          </w:p>
        </w:tc>
        <w:tc>
          <w:tcPr>
            <w:tcW w:w="1355" w:type="dxa"/>
            <w:vAlign w:val="center"/>
          </w:tcPr>
          <w:p w14:paraId="620AB0A5">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2</w:t>
            </w:r>
            <w:r>
              <w:rPr>
                <w:rFonts w:hint="eastAsia" w:eastAsia="宋体" w:cs="Times New Roman"/>
                <w:sz w:val="24"/>
                <w:szCs w:val="24"/>
              </w:rPr>
              <w:t>.</w:t>
            </w:r>
            <w:r>
              <w:rPr>
                <w:rFonts w:eastAsia="宋体" w:cs="Times New Roman"/>
                <w:sz w:val="24"/>
                <w:szCs w:val="24"/>
              </w:rPr>
              <w:t>40</w:t>
            </w:r>
          </w:p>
        </w:tc>
      </w:tr>
      <w:tr w14:paraId="0463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66BA4A00">
            <w:pPr>
              <w:widowControl/>
              <w:snapToGrid/>
              <w:spacing w:line="240" w:lineRule="auto"/>
              <w:ind w:firstLine="480" w:firstLineChars="0"/>
              <w:jc w:val="center"/>
              <w:rPr>
                <w:rFonts w:eastAsia="宋体" w:cs="Times New Roman"/>
                <w:sz w:val="24"/>
                <w:szCs w:val="24"/>
              </w:rPr>
            </w:pPr>
          </w:p>
        </w:tc>
        <w:tc>
          <w:tcPr>
            <w:tcW w:w="4452" w:type="dxa"/>
            <w:vAlign w:val="center"/>
          </w:tcPr>
          <w:p w14:paraId="777DFC55">
            <w:pPr>
              <w:widowControl/>
              <w:snapToGrid/>
              <w:spacing w:line="240" w:lineRule="auto"/>
              <w:ind w:firstLine="0" w:firstLineChars="0"/>
              <w:jc w:val="center"/>
              <w:rPr>
                <w:rFonts w:eastAsia="宋体" w:cs="Times New Roman"/>
                <w:sz w:val="24"/>
                <w:szCs w:val="24"/>
              </w:rPr>
            </w:pPr>
            <w:r>
              <w:rPr>
                <w:rFonts w:eastAsia="宋体" w:cs="Times New Roman"/>
                <w:sz w:val="24"/>
                <w:szCs w:val="24"/>
              </w:rPr>
              <w:t>营业、办公所消耗纸张强度（</w:t>
            </w:r>
            <w:r>
              <w:rPr>
                <w:rFonts w:hint="eastAsia" w:eastAsia="宋体" w:cs="Times New Roman"/>
                <w:sz w:val="24"/>
                <w:szCs w:val="24"/>
              </w:rPr>
              <w:t>千克</w:t>
            </w:r>
            <w:r>
              <w:rPr>
                <w:rFonts w:eastAsia="宋体" w:cs="Times New Roman"/>
                <w:sz w:val="24"/>
                <w:szCs w:val="24"/>
              </w:rPr>
              <w:t>/人）</w:t>
            </w:r>
          </w:p>
        </w:tc>
        <w:tc>
          <w:tcPr>
            <w:tcW w:w="1355" w:type="dxa"/>
            <w:vAlign w:val="center"/>
          </w:tcPr>
          <w:p w14:paraId="4ECCA7D2">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4</w:t>
            </w:r>
            <w:r>
              <w:rPr>
                <w:rFonts w:hint="eastAsia" w:eastAsia="宋体" w:cs="Times New Roman"/>
                <w:sz w:val="24"/>
                <w:szCs w:val="24"/>
              </w:rPr>
              <w:t>.</w:t>
            </w:r>
            <w:r>
              <w:rPr>
                <w:rFonts w:eastAsia="宋体" w:cs="Times New Roman"/>
                <w:sz w:val="24"/>
                <w:szCs w:val="24"/>
              </w:rPr>
              <w:t>56</w:t>
            </w:r>
          </w:p>
        </w:tc>
      </w:tr>
      <w:tr w14:paraId="54DD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restart"/>
            <w:vAlign w:val="center"/>
          </w:tcPr>
          <w:p w14:paraId="2FEFA110">
            <w:pPr>
              <w:widowControl w:val="0"/>
              <w:spacing w:line="240" w:lineRule="auto"/>
              <w:ind w:firstLine="24" w:firstLineChars="10"/>
              <w:jc w:val="center"/>
              <w:rPr>
                <w:rFonts w:eastAsia="宋体" w:cs="Times New Roman"/>
                <w:sz w:val="24"/>
                <w:szCs w:val="24"/>
              </w:rPr>
            </w:pPr>
            <w:r>
              <w:rPr>
                <w:rFonts w:eastAsia="宋体" w:cs="Times New Roman"/>
                <w:sz w:val="24"/>
                <w:szCs w:val="24"/>
              </w:rPr>
              <w:t>能源使用</w:t>
            </w:r>
          </w:p>
        </w:tc>
        <w:tc>
          <w:tcPr>
            <w:tcW w:w="4452" w:type="dxa"/>
            <w:vAlign w:val="center"/>
          </w:tcPr>
          <w:p w14:paraId="1702A580">
            <w:pPr>
              <w:widowControl w:val="0"/>
              <w:snapToGrid/>
              <w:spacing w:line="240" w:lineRule="auto"/>
              <w:ind w:firstLine="0" w:firstLineChars="0"/>
              <w:jc w:val="center"/>
              <w:rPr>
                <w:rFonts w:hint="eastAsia" w:eastAsia="宋体" w:cs="Times New Roman"/>
                <w:sz w:val="24"/>
                <w:szCs w:val="24"/>
              </w:rPr>
            </w:pPr>
            <w:r>
              <w:rPr>
                <w:rFonts w:eastAsia="宋体" w:cs="Times New Roman"/>
                <w:sz w:val="24"/>
                <w:szCs w:val="24"/>
              </w:rPr>
              <w:t>自有交通运输工具所消耗的汽油（升）</w:t>
            </w:r>
          </w:p>
        </w:tc>
        <w:tc>
          <w:tcPr>
            <w:tcW w:w="1355" w:type="dxa"/>
            <w:vAlign w:val="center"/>
          </w:tcPr>
          <w:p w14:paraId="5B93EC4D">
            <w:pPr>
              <w:widowControl w:val="0"/>
              <w:snapToGrid/>
              <w:spacing w:line="240" w:lineRule="auto"/>
              <w:ind w:firstLine="0" w:firstLineChars="0"/>
              <w:jc w:val="center"/>
              <w:rPr>
                <w:rFonts w:eastAsia="宋体" w:cs="Times New Roman"/>
                <w:sz w:val="24"/>
                <w:szCs w:val="24"/>
                <w:highlight w:val="none"/>
              </w:rPr>
            </w:pPr>
            <w:r>
              <w:rPr>
                <w:rFonts w:hint="eastAsia" w:eastAsia="宋体" w:cs="Times New Roman"/>
                <w:sz w:val="24"/>
                <w:szCs w:val="24"/>
                <w:highlight w:val="none"/>
              </w:rPr>
              <w:t>55</w:t>
            </w:r>
            <w:r>
              <w:rPr>
                <w:rFonts w:eastAsia="宋体" w:cs="Times New Roman"/>
                <w:sz w:val="24"/>
                <w:szCs w:val="24"/>
                <w:highlight w:val="none"/>
              </w:rPr>
              <w:t>,</w:t>
            </w:r>
            <w:r>
              <w:rPr>
                <w:rFonts w:hint="eastAsia" w:eastAsia="宋体" w:cs="Times New Roman"/>
                <w:sz w:val="24"/>
                <w:szCs w:val="24"/>
                <w:highlight w:val="none"/>
              </w:rPr>
              <w:t>00</w:t>
            </w:r>
            <w:r>
              <w:rPr>
                <w:rFonts w:eastAsia="宋体" w:cs="Times New Roman"/>
                <w:sz w:val="24"/>
                <w:szCs w:val="24"/>
                <w:highlight w:val="none"/>
              </w:rPr>
              <w:t>0</w:t>
            </w:r>
          </w:p>
        </w:tc>
      </w:tr>
      <w:tr w14:paraId="27CD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7A5B60BA">
            <w:pPr>
              <w:widowControl w:val="0"/>
              <w:spacing w:line="240" w:lineRule="auto"/>
              <w:ind w:firstLine="480"/>
              <w:jc w:val="center"/>
              <w:rPr>
                <w:rFonts w:eastAsia="宋体" w:cs="Times New Roman"/>
                <w:sz w:val="24"/>
                <w:szCs w:val="24"/>
              </w:rPr>
            </w:pPr>
          </w:p>
        </w:tc>
        <w:tc>
          <w:tcPr>
            <w:tcW w:w="4452" w:type="dxa"/>
            <w:vAlign w:val="center"/>
          </w:tcPr>
          <w:p w14:paraId="1E9AAA92">
            <w:pPr>
              <w:widowControl w:val="0"/>
              <w:snapToGrid/>
              <w:spacing w:line="240" w:lineRule="auto"/>
              <w:ind w:firstLine="0" w:firstLineChars="0"/>
              <w:jc w:val="center"/>
              <w:rPr>
                <w:rFonts w:hint="eastAsia" w:eastAsia="宋体" w:cs="Times New Roman"/>
                <w:sz w:val="24"/>
                <w:szCs w:val="24"/>
              </w:rPr>
            </w:pPr>
            <w:r>
              <w:rPr>
                <w:rFonts w:hint="eastAsia" w:eastAsia="宋体" w:cs="Times New Roman"/>
                <w:sz w:val="24"/>
                <w:szCs w:val="24"/>
              </w:rPr>
              <w:t>营业、办公所消耗的燃气（立方米）</w:t>
            </w:r>
          </w:p>
        </w:tc>
        <w:tc>
          <w:tcPr>
            <w:tcW w:w="1355" w:type="dxa"/>
            <w:vAlign w:val="center"/>
          </w:tcPr>
          <w:p w14:paraId="2E8E6534">
            <w:pPr>
              <w:widowControl w:val="0"/>
              <w:snapToGrid/>
              <w:spacing w:line="240" w:lineRule="auto"/>
              <w:ind w:firstLine="0" w:firstLineChars="0"/>
              <w:jc w:val="center"/>
              <w:rPr>
                <w:rFonts w:hint="eastAsia" w:eastAsia="宋体" w:cs="Times New Roman"/>
                <w:sz w:val="24"/>
                <w:szCs w:val="24"/>
                <w:highlight w:val="none"/>
              </w:rPr>
            </w:pPr>
            <w:r>
              <w:rPr>
                <w:rFonts w:hint="eastAsia" w:eastAsia="宋体" w:cs="Times New Roman"/>
                <w:sz w:val="24"/>
                <w:szCs w:val="24"/>
                <w:highlight w:val="none"/>
              </w:rPr>
              <w:t>4</w:t>
            </w:r>
            <w:r>
              <w:rPr>
                <w:rFonts w:eastAsia="宋体" w:cs="Times New Roman"/>
                <w:sz w:val="24"/>
                <w:szCs w:val="24"/>
                <w:highlight w:val="none"/>
              </w:rPr>
              <w:t>,</w:t>
            </w:r>
            <w:r>
              <w:rPr>
                <w:rFonts w:hint="eastAsia" w:eastAsia="宋体" w:cs="Times New Roman"/>
                <w:sz w:val="24"/>
                <w:szCs w:val="24"/>
                <w:highlight w:val="none"/>
              </w:rPr>
              <w:t>000</w:t>
            </w:r>
          </w:p>
        </w:tc>
      </w:tr>
      <w:tr w14:paraId="7ACA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44751D2A">
            <w:pPr>
              <w:widowControl/>
              <w:snapToGrid/>
              <w:spacing w:line="240" w:lineRule="auto"/>
              <w:ind w:firstLine="0" w:firstLineChars="0"/>
              <w:jc w:val="center"/>
              <w:rPr>
                <w:rFonts w:eastAsia="宋体" w:cs="Times New Roman"/>
                <w:sz w:val="24"/>
                <w:szCs w:val="24"/>
              </w:rPr>
            </w:pPr>
          </w:p>
        </w:tc>
        <w:tc>
          <w:tcPr>
            <w:tcW w:w="4452" w:type="dxa"/>
            <w:vAlign w:val="center"/>
          </w:tcPr>
          <w:p w14:paraId="7A645FBC">
            <w:pPr>
              <w:widowControl/>
              <w:snapToGrid/>
              <w:spacing w:line="240" w:lineRule="auto"/>
              <w:ind w:firstLine="0" w:firstLineChars="0"/>
              <w:jc w:val="center"/>
              <w:rPr>
                <w:rFonts w:eastAsia="宋体" w:cs="Times New Roman"/>
                <w:sz w:val="24"/>
                <w:szCs w:val="24"/>
              </w:rPr>
            </w:pPr>
            <w:r>
              <w:rPr>
                <w:rFonts w:eastAsia="宋体" w:cs="Times New Roman"/>
                <w:sz w:val="24"/>
                <w:szCs w:val="24"/>
              </w:rPr>
              <w:t>营业、办公所消耗的电力（兆瓦时）</w:t>
            </w:r>
          </w:p>
        </w:tc>
        <w:tc>
          <w:tcPr>
            <w:tcW w:w="1355" w:type="dxa"/>
            <w:vAlign w:val="center"/>
          </w:tcPr>
          <w:p w14:paraId="4B6DA3A0">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1,320</w:t>
            </w:r>
          </w:p>
        </w:tc>
      </w:tr>
      <w:tr w14:paraId="4363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Merge w:val="continue"/>
            <w:vAlign w:val="center"/>
          </w:tcPr>
          <w:p w14:paraId="1199839A">
            <w:pPr>
              <w:widowControl/>
              <w:snapToGrid/>
              <w:spacing w:line="240" w:lineRule="auto"/>
              <w:ind w:firstLine="480" w:firstLineChars="0"/>
              <w:jc w:val="center"/>
              <w:rPr>
                <w:rFonts w:eastAsia="宋体" w:cs="Times New Roman"/>
                <w:sz w:val="24"/>
                <w:szCs w:val="24"/>
              </w:rPr>
            </w:pPr>
          </w:p>
        </w:tc>
        <w:tc>
          <w:tcPr>
            <w:tcW w:w="4452" w:type="dxa"/>
            <w:vAlign w:val="center"/>
          </w:tcPr>
          <w:p w14:paraId="5740BE71">
            <w:pPr>
              <w:widowControl/>
              <w:snapToGrid/>
              <w:spacing w:line="240" w:lineRule="auto"/>
              <w:ind w:firstLine="0" w:firstLineChars="0"/>
              <w:jc w:val="center"/>
              <w:rPr>
                <w:rFonts w:eastAsia="宋体" w:cs="Times New Roman"/>
                <w:sz w:val="24"/>
                <w:szCs w:val="24"/>
              </w:rPr>
            </w:pPr>
            <w:r>
              <w:rPr>
                <w:rFonts w:hint="eastAsia" w:eastAsia="宋体" w:cs="Times New Roman"/>
                <w:sz w:val="24"/>
                <w:szCs w:val="24"/>
              </w:rPr>
              <w:t>营业、办公所消耗的热力（吉焦）</w:t>
            </w:r>
          </w:p>
        </w:tc>
        <w:tc>
          <w:tcPr>
            <w:tcW w:w="1355" w:type="dxa"/>
            <w:vAlign w:val="center"/>
          </w:tcPr>
          <w:p w14:paraId="1999F54A">
            <w:pPr>
              <w:widowControl w:val="0"/>
              <w:snapToGrid/>
              <w:spacing w:line="240" w:lineRule="auto"/>
              <w:ind w:firstLine="0" w:firstLineChars="0"/>
              <w:jc w:val="center"/>
              <w:rPr>
                <w:rFonts w:eastAsia="宋体" w:cs="Times New Roman"/>
                <w:sz w:val="24"/>
                <w:szCs w:val="24"/>
              </w:rPr>
            </w:pPr>
            <w:r>
              <w:rPr>
                <w:rFonts w:hint="eastAsia" w:eastAsia="宋体" w:cs="Times New Roman"/>
                <w:sz w:val="24"/>
                <w:szCs w:val="24"/>
                <w:highlight w:val="none"/>
              </w:rPr>
              <w:t>15</w:t>
            </w:r>
            <w:r>
              <w:rPr>
                <w:rFonts w:eastAsia="宋体" w:cs="Times New Roman"/>
                <w:sz w:val="24"/>
                <w:szCs w:val="24"/>
                <w:highlight w:val="none"/>
              </w:rPr>
              <w:t>,000</w:t>
            </w:r>
          </w:p>
        </w:tc>
      </w:tr>
      <w:tr w14:paraId="1C80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Align w:val="center"/>
          </w:tcPr>
          <w:p w14:paraId="49BCE816">
            <w:pPr>
              <w:widowControl/>
              <w:snapToGrid/>
              <w:spacing w:line="240" w:lineRule="auto"/>
              <w:ind w:firstLine="0" w:firstLineChars="0"/>
              <w:jc w:val="center"/>
              <w:rPr>
                <w:rFonts w:eastAsia="宋体" w:cs="Times New Roman"/>
                <w:sz w:val="24"/>
                <w:szCs w:val="24"/>
              </w:rPr>
            </w:pPr>
            <w:r>
              <w:rPr>
                <w:rFonts w:eastAsia="宋体" w:cs="Times New Roman"/>
                <w:sz w:val="24"/>
                <w:szCs w:val="24"/>
              </w:rPr>
              <w:t>外来物种入侵和其他</w:t>
            </w:r>
          </w:p>
        </w:tc>
        <w:tc>
          <w:tcPr>
            <w:tcW w:w="5807" w:type="dxa"/>
            <w:gridSpan w:val="2"/>
            <w:vMerge w:val="restart"/>
            <w:vAlign w:val="center"/>
          </w:tcPr>
          <w:p w14:paraId="54853457">
            <w:pPr>
              <w:widowControl/>
              <w:snapToGrid/>
              <w:spacing w:line="240" w:lineRule="auto"/>
              <w:ind w:firstLine="0" w:firstLineChars="0"/>
              <w:jc w:val="center"/>
              <w:rPr>
                <w:rFonts w:eastAsia="宋体" w:cs="Times New Roman"/>
                <w:sz w:val="24"/>
                <w:szCs w:val="24"/>
              </w:rPr>
            </w:pPr>
            <w:r>
              <w:rPr>
                <w:rFonts w:eastAsia="宋体" w:cs="Times New Roman"/>
                <w:sz w:val="24"/>
                <w:szCs w:val="24"/>
              </w:rPr>
              <w:t>不涉及</w:t>
            </w:r>
          </w:p>
        </w:tc>
      </w:tr>
      <w:tr w14:paraId="291C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9" w:type="dxa"/>
            <w:vAlign w:val="center"/>
          </w:tcPr>
          <w:p w14:paraId="3A6E4675">
            <w:pPr>
              <w:widowControl/>
              <w:snapToGrid/>
              <w:spacing w:line="240" w:lineRule="auto"/>
              <w:ind w:firstLine="0" w:firstLineChars="0"/>
              <w:jc w:val="center"/>
              <w:rPr>
                <w:rFonts w:eastAsia="宋体" w:cs="Times New Roman"/>
                <w:sz w:val="24"/>
                <w:szCs w:val="24"/>
              </w:rPr>
            </w:pPr>
            <w:r>
              <w:rPr>
                <w:rFonts w:eastAsia="宋体" w:cs="Times New Roman"/>
                <w:sz w:val="24"/>
                <w:szCs w:val="24"/>
              </w:rPr>
              <w:t>淡水/海洋利用变化</w:t>
            </w:r>
          </w:p>
        </w:tc>
        <w:tc>
          <w:tcPr>
            <w:tcW w:w="5807" w:type="dxa"/>
            <w:gridSpan w:val="2"/>
            <w:vMerge w:val="continue"/>
            <w:vAlign w:val="center"/>
          </w:tcPr>
          <w:p w14:paraId="1433B922">
            <w:pPr>
              <w:widowControl/>
              <w:snapToGrid/>
              <w:spacing w:line="240" w:lineRule="auto"/>
              <w:ind w:firstLine="0" w:firstLineChars="0"/>
              <w:jc w:val="center"/>
              <w:rPr>
                <w:rFonts w:eastAsia="宋体" w:cs="Times New Roman"/>
                <w:sz w:val="24"/>
                <w:szCs w:val="24"/>
              </w:rPr>
            </w:pPr>
          </w:p>
        </w:tc>
      </w:tr>
    </w:tbl>
    <w:p w14:paraId="53C65A47">
      <w:pPr>
        <w:snapToGrid/>
        <w:spacing w:line="240" w:lineRule="auto"/>
        <w:ind w:firstLine="0" w:firstLineChars="0"/>
        <w:jc w:val="left"/>
        <w:rPr>
          <w:rFonts w:eastAsia="宋体" w:cs="Times New Roman"/>
          <w:sz w:val="21"/>
          <w:szCs w:val="21"/>
        </w:rPr>
      </w:pPr>
      <w:r>
        <w:rPr>
          <w:rFonts w:eastAsia="宋体" w:cs="Times New Roman"/>
          <w:sz w:val="21"/>
          <w:szCs w:val="21"/>
        </w:rPr>
        <w:t>注：</w:t>
      </w:r>
    </w:p>
    <w:p w14:paraId="4824088E">
      <w:pPr>
        <w:numPr>
          <w:ilvl w:val="0"/>
          <w:numId w:val="7"/>
        </w:numPr>
        <w:snapToGrid/>
        <w:spacing w:line="240" w:lineRule="auto"/>
        <w:ind w:firstLine="0" w:firstLineChars="0"/>
        <w:jc w:val="left"/>
        <w:rPr>
          <w:rFonts w:eastAsia="宋体" w:cs="Times New Roman"/>
          <w:sz w:val="21"/>
          <w:szCs w:val="21"/>
        </w:rPr>
      </w:pPr>
      <w:r>
        <w:rPr>
          <w:rFonts w:eastAsia="宋体" w:cs="Times New Roman"/>
          <w:sz w:val="21"/>
          <w:szCs w:val="21"/>
        </w:rPr>
        <w:t>范围一核算范围为我</w:t>
      </w:r>
      <w:r>
        <w:rPr>
          <w:rFonts w:hint="eastAsia" w:eastAsia="宋体" w:cs="Times New Roman"/>
          <w:sz w:val="21"/>
          <w:szCs w:val="21"/>
        </w:rPr>
        <w:t>行</w:t>
      </w:r>
      <w:r>
        <w:rPr>
          <w:rFonts w:eastAsia="宋体" w:cs="Times New Roman"/>
          <w:sz w:val="21"/>
          <w:szCs w:val="21"/>
        </w:rPr>
        <w:t>本部及各分支机构自有交通工具汽油消耗量所对应的温室气体排放量；</w:t>
      </w:r>
    </w:p>
    <w:p w14:paraId="754F4125">
      <w:pPr>
        <w:numPr>
          <w:ilvl w:val="0"/>
          <w:numId w:val="7"/>
        </w:numPr>
        <w:snapToGrid/>
        <w:spacing w:line="240" w:lineRule="auto"/>
        <w:ind w:firstLine="0" w:firstLineChars="0"/>
        <w:jc w:val="left"/>
        <w:rPr>
          <w:rFonts w:eastAsia="宋体" w:cs="Times New Roman"/>
          <w:sz w:val="21"/>
          <w:szCs w:val="21"/>
        </w:rPr>
      </w:pPr>
      <w:r>
        <w:rPr>
          <w:rFonts w:eastAsia="宋体" w:cs="Times New Roman"/>
          <w:sz w:val="21"/>
          <w:szCs w:val="21"/>
        </w:rPr>
        <w:t>范围二核算范围为我</w:t>
      </w:r>
      <w:r>
        <w:rPr>
          <w:rFonts w:hint="eastAsia" w:eastAsia="宋体" w:cs="Times New Roman"/>
          <w:sz w:val="21"/>
          <w:szCs w:val="21"/>
        </w:rPr>
        <w:t>行</w:t>
      </w:r>
      <w:r>
        <w:rPr>
          <w:rFonts w:eastAsia="宋体" w:cs="Times New Roman"/>
          <w:sz w:val="21"/>
          <w:szCs w:val="21"/>
        </w:rPr>
        <w:t>本部及各分支机构经营办公电力使用量所对应的温室气体排放量；</w:t>
      </w:r>
    </w:p>
    <w:p w14:paraId="57248AB0">
      <w:pPr>
        <w:numPr>
          <w:ilvl w:val="0"/>
          <w:numId w:val="7"/>
        </w:numPr>
        <w:snapToGrid/>
        <w:spacing w:line="240" w:lineRule="auto"/>
        <w:ind w:firstLine="0" w:firstLineChars="0"/>
        <w:jc w:val="left"/>
        <w:rPr>
          <w:rFonts w:eastAsia="宋体" w:cs="Times New Roman"/>
          <w:sz w:val="21"/>
          <w:szCs w:val="21"/>
        </w:rPr>
      </w:pPr>
      <w:r>
        <w:rPr>
          <w:rFonts w:eastAsia="宋体" w:cs="Times New Roman"/>
          <w:sz w:val="21"/>
          <w:szCs w:val="21"/>
        </w:rPr>
        <w:t>范围三核算范围为营业、办公消耗水量及耗纸量、食堂服务所产生的温室气体排放量。人均碳排放量为温室气体总排放量除以用能人数（526人）；</w:t>
      </w:r>
    </w:p>
    <w:p w14:paraId="1979B81E">
      <w:pPr>
        <w:numPr>
          <w:ilvl w:val="0"/>
          <w:numId w:val="7"/>
        </w:numPr>
        <w:snapToGrid/>
        <w:spacing w:line="240" w:lineRule="auto"/>
        <w:ind w:firstLine="0" w:firstLineChars="0"/>
        <w:jc w:val="left"/>
        <w:rPr>
          <w:rFonts w:eastAsia="宋体" w:cs="Times New Roman"/>
          <w:sz w:val="21"/>
          <w:szCs w:val="21"/>
        </w:rPr>
      </w:pPr>
      <w:r>
        <w:rPr>
          <w:rFonts w:eastAsia="宋体" w:cs="Times New Roman"/>
          <w:sz w:val="21"/>
          <w:szCs w:val="21"/>
        </w:rPr>
        <w:t>我</w:t>
      </w:r>
      <w:r>
        <w:rPr>
          <w:rFonts w:hint="eastAsia" w:eastAsia="宋体" w:cs="Times New Roman"/>
          <w:sz w:val="21"/>
          <w:szCs w:val="21"/>
        </w:rPr>
        <w:t>行</w:t>
      </w:r>
      <w:r>
        <w:rPr>
          <w:rFonts w:eastAsia="宋体" w:cs="Times New Roman"/>
          <w:sz w:val="21"/>
          <w:szCs w:val="21"/>
        </w:rPr>
        <w:t>自身运营不涉及对土壤排放污染物；</w:t>
      </w:r>
    </w:p>
    <w:p w14:paraId="6499E494">
      <w:pPr>
        <w:numPr>
          <w:ilvl w:val="0"/>
          <w:numId w:val="7"/>
        </w:numPr>
        <w:snapToGrid/>
        <w:spacing w:line="240" w:lineRule="auto"/>
        <w:ind w:firstLine="0" w:firstLineChars="0"/>
        <w:jc w:val="left"/>
        <w:rPr>
          <w:rFonts w:eastAsia="宋体" w:cs="Times New Roman"/>
          <w:sz w:val="21"/>
          <w:szCs w:val="21"/>
        </w:rPr>
      </w:pPr>
      <w:r>
        <w:rPr>
          <w:rFonts w:eastAsia="宋体" w:cs="Times New Roman"/>
          <w:sz w:val="21"/>
          <w:szCs w:val="21"/>
        </w:rPr>
        <w:t>我</w:t>
      </w:r>
      <w:r>
        <w:rPr>
          <w:rFonts w:hint="eastAsia" w:eastAsia="宋体" w:cs="Times New Roman"/>
          <w:sz w:val="21"/>
          <w:szCs w:val="21"/>
        </w:rPr>
        <w:t>行</w:t>
      </w:r>
      <w:r>
        <w:rPr>
          <w:rFonts w:eastAsia="宋体" w:cs="Times New Roman"/>
          <w:sz w:val="21"/>
          <w:szCs w:val="21"/>
        </w:rPr>
        <w:t>办公场所及营业网点建设位置均不涉及水资源短缺问题；同时，我</w:t>
      </w:r>
      <w:r>
        <w:rPr>
          <w:rFonts w:hint="eastAsia" w:eastAsia="宋体" w:cs="Times New Roman"/>
          <w:sz w:val="21"/>
          <w:szCs w:val="21"/>
        </w:rPr>
        <w:t>行</w:t>
      </w:r>
      <w:r>
        <w:rPr>
          <w:rFonts w:eastAsia="宋体" w:cs="Times New Roman"/>
          <w:sz w:val="21"/>
          <w:szCs w:val="21"/>
        </w:rPr>
        <w:t>营业性质不涉及对源自土地/海洋/淡水的高风险自然商品的使用。</w:t>
      </w:r>
    </w:p>
    <w:p w14:paraId="6DF6A3CE">
      <w:pPr>
        <w:keepNext/>
        <w:keepLines/>
        <w:numPr>
          <w:ilvl w:val="2"/>
          <w:numId w:val="1"/>
        </w:numPr>
        <w:ind w:firstLine="200" w:firstLineChars="0"/>
        <w:outlineLvl w:val="2"/>
        <w:rPr>
          <w:rFonts w:eastAsia="宋体" w:cs="Times New Roman"/>
          <w:b/>
          <w:bCs/>
        </w:rPr>
      </w:pPr>
      <w:r>
        <w:rPr>
          <w:rFonts w:eastAsia="宋体" w:cs="Times New Roman"/>
          <w:b/>
          <w:bCs/>
        </w:rPr>
        <w:t>风险与机遇指标</w:t>
      </w:r>
    </w:p>
    <w:p w14:paraId="44975AF0">
      <w:pPr>
        <w:keepNext/>
        <w:ind w:firstLine="482"/>
        <w:jc w:val="center"/>
        <w:rPr>
          <w:rFonts w:eastAsia="宋体" w:cs="Times New Roman"/>
          <w:b/>
          <w:bCs/>
          <w:sz w:val="24"/>
          <w:szCs w:val="18"/>
        </w:rPr>
      </w:pPr>
      <w:r>
        <w:rPr>
          <w:rFonts w:hint="eastAsia" w:eastAsia="宋体" w:cs="Times New Roman"/>
          <w:b/>
          <w:bCs/>
          <w:sz w:val="24"/>
          <w:szCs w:val="18"/>
        </w:rPr>
        <w:t>表</w:t>
      </w:r>
      <w:r>
        <w:rPr>
          <w:rFonts w:eastAsia="宋体" w:cs="Times New Roman"/>
          <w:b/>
          <w:bCs/>
          <w:sz w:val="24"/>
          <w:szCs w:val="18"/>
        </w:rPr>
        <w:t>10</w:t>
      </w:r>
      <w:r>
        <w:rPr>
          <w:rFonts w:hint="eastAsia" w:eastAsia="宋体" w:cs="Times New Roman"/>
          <w:b/>
          <w:bCs/>
          <w:sz w:val="24"/>
          <w:szCs w:val="18"/>
        </w:rPr>
        <w:t>.乌海银行</w:t>
      </w:r>
      <w:r>
        <w:rPr>
          <w:rFonts w:eastAsia="宋体" w:cs="Times New Roman"/>
          <w:b/>
          <w:bCs/>
          <w:sz w:val="24"/>
          <w:szCs w:val="18"/>
        </w:rPr>
        <w:t>自然相关风险与机遇指标</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4041"/>
        <w:gridCol w:w="2777"/>
      </w:tblGrid>
      <w:tr w14:paraId="20C7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478" w:type="dxa"/>
            <w:shd w:val="clear" w:color="auto" w:fill="44546A"/>
          </w:tcPr>
          <w:p w14:paraId="1288C6E5">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类别</w:t>
            </w:r>
          </w:p>
        </w:tc>
        <w:tc>
          <w:tcPr>
            <w:tcW w:w="4041" w:type="dxa"/>
            <w:shd w:val="clear" w:color="auto" w:fill="44546A"/>
          </w:tcPr>
          <w:p w14:paraId="2AF94BA3">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指标</w:t>
            </w:r>
          </w:p>
        </w:tc>
        <w:tc>
          <w:tcPr>
            <w:tcW w:w="2777" w:type="dxa"/>
            <w:shd w:val="clear" w:color="auto" w:fill="44546A"/>
          </w:tcPr>
          <w:p w14:paraId="1D77E7C5">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数据</w:t>
            </w:r>
          </w:p>
        </w:tc>
      </w:tr>
      <w:tr w14:paraId="2309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14:paraId="60C28ECE">
            <w:pPr>
              <w:widowControl/>
              <w:snapToGrid/>
              <w:spacing w:line="240" w:lineRule="auto"/>
              <w:ind w:firstLine="0" w:firstLineChars="0"/>
              <w:jc w:val="center"/>
              <w:rPr>
                <w:rFonts w:eastAsia="宋体" w:cs="Times New Roman"/>
                <w:sz w:val="24"/>
                <w:szCs w:val="24"/>
              </w:rPr>
            </w:pPr>
            <w:r>
              <w:rPr>
                <w:rFonts w:eastAsia="宋体" w:cs="Times New Roman"/>
                <w:sz w:val="24"/>
                <w:szCs w:val="24"/>
              </w:rPr>
              <w:t>风险</w:t>
            </w:r>
          </w:p>
        </w:tc>
        <w:tc>
          <w:tcPr>
            <w:tcW w:w="4041" w:type="dxa"/>
          </w:tcPr>
          <w:p w14:paraId="297BD0F2">
            <w:pPr>
              <w:widowControl/>
              <w:snapToGrid/>
              <w:spacing w:line="240" w:lineRule="auto"/>
              <w:ind w:firstLine="0" w:firstLineChars="0"/>
              <w:rPr>
                <w:rFonts w:eastAsia="宋体" w:cs="Times New Roman"/>
                <w:sz w:val="24"/>
                <w:szCs w:val="24"/>
              </w:rPr>
            </w:pPr>
            <w:r>
              <w:rPr>
                <w:rFonts w:eastAsia="宋体" w:cs="Times New Roman"/>
                <w:sz w:val="24"/>
                <w:szCs w:val="24"/>
              </w:rPr>
              <w:t>投向易受自然相关转型风险影响行业的贷款余额/占</w:t>
            </w:r>
            <w:r>
              <w:rPr>
                <w:rFonts w:hint="eastAsia" w:eastAsia="宋体" w:cs="Times New Roman"/>
                <w:sz w:val="24"/>
                <w:szCs w:val="24"/>
              </w:rPr>
              <w:t>绿色</w:t>
            </w:r>
            <w:r>
              <w:rPr>
                <w:rFonts w:eastAsia="宋体" w:cs="Times New Roman"/>
                <w:sz w:val="24"/>
                <w:szCs w:val="24"/>
              </w:rPr>
              <w:t>信贷资产总额比例</w:t>
            </w:r>
            <w:r>
              <w:rPr>
                <w:rFonts w:eastAsia="宋体" w:cs="Times New Roman"/>
                <w:sz w:val="24"/>
                <w:szCs w:val="24"/>
                <w:vertAlign w:val="superscript"/>
              </w:rPr>
              <w:t>1</w:t>
            </w:r>
          </w:p>
        </w:tc>
        <w:tc>
          <w:tcPr>
            <w:tcW w:w="2777" w:type="dxa"/>
            <w:vAlign w:val="center"/>
          </w:tcPr>
          <w:p w14:paraId="2F707B8A">
            <w:pPr>
              <w:widowControl/>
              <w:snapToGrid/>
              <w:spacing w:line="240" w:lineRule="auto"/>
              <w:ind w:firstLine="0" w:firstLineChars="0"/>
              <w:jc w:val="center"/>
              <w:rPr>
                <w:rFonts w:eastAsia="宋体" w:cs="Times New Roman"/>
                <w:sz w:val="24"/>
                <w:szCs w:val="24"/>
              </w:rPr>
            </w:pPr>
            <w:r>
              <w:rPr>
                <w:rFonts w:hint="eastAsia" w:eastAsia="宋体" w:cs="Times New Roman"/>
                <w:sz w:val="24"/>
                <w:szCs w:val="24"/>
              </w:rPr>
              <w:t>0.</w:t>
            </w:r>
            <w:r>
              <w:rPr>
                <w:rFonts w:eastAsia="宋体" w:cs="Times New Roman"/>
                <w:sz w:val="24"/>
                <w:szCs w:val="24"/>
              </w:rPr>
              <w:t>53</w:t>
            </w:r>
            <w:r>
              <w:rPr>
                <w:rFonts w:hint="eastAsia" w:eastAsia="宋体" w:cs="Times New Roman"/>
                <w:sz w:val="24"/>
                <w:szCs w:val="24"/>
              </w:rPr>
              <w:t>亿/</w:t>
            </w:r>
            <w:r>
              <w:rPr>
                <w:rFonts w:eastAsia="宋体" w:cs="Times New Roman"/>
                <w:sz w:val="24"/>
                <w:szCs w:val="24"/>
              </w:rPr>
              <w:t>28</w:t>
            </w:r>
            <w:r>
              <w:rPr>
                <w:rFonts w:hint="eastAsia" w:eastAsia="宋体" w:cs="Times New Roman"/>
                <w:sz w:val="24"/>
                <w:szCs w:val="24"/>
              </w:rPr>
              <w:t>.</w:t>
            </w:r>
            <w:r>
              <w:rPr>
                <w:rFonts w:eastAsia="宋体" w:cs="Times New Roman"/>
                <w:sz w:val="24"/>
                <w:szCs w:val="24"/>
              </w:rPr>
              <w:t>73</w:t>
            </w:r>
            <w:r>
              <w:rPr>
                <w:rFonts w:hint="eastAsia" w:eastAsia="宋体" w:cs="Times New Roman"/>
                <w:sz w:val="24"/>
                <w:szCs w:val="24"/>
              </w:rPr>
              <w:t>%</w:t>
            </w:r>
          </w:p>
        </w:tc>
      </w:tr>
      <w:tr w14:paraId="6D26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14:paraId="269368B4">
            <w:pPr>
              <w:widowControl/>
              <w:snapToGrid/>
              <w:spacing w:line="240" w:lineRule="auto"/>
              <w:ind w:firstLine="0" w:firstLineChars="0"/>
              <w:jc w:val="center"/>
              <w:rPr>
                <w:rFonts w:eastAsia="宋体" w:cs="Times New Roman"/>
                <w:sz w:val="24"/>
                <w:szCs w:val="24"/>
              </w:rPr>
            </w:pPr>
            <w:r>
              <w:rPr>
                <w:rFonts w:eastAsia="宋体" w:cs="Times New Roman"/>
                <w:sz w:val="24"/>
                <w:szCs w:val="24"/>
              </w:rPr>
              <w:t>风险</w:t>
            </w:r>
          </w:p>
        </w:tc>
        <w:tc>
          <w:tcPr>
            <w:tcW w:w="4041" w:type="dxa"/>
          </w:tcPr>
          <w:p w14:paraId="1F11C6C0">
            <w:pPr>
              <w:widowControl/>
              <w:snapToGrid/>
              <w:spacing w:line="240" w:lineRule="auto"/>
              <w:ind w:firstLine="0" w:firstLineChars="0"/>
              <w:rPr>
                <w:rFonts w:eastAsia="宋体" w:cs="Times New Roman"/>
                <w:sz w:val="24"/>
                <w:szCs w:val="24"/>
              </w:rPr>
            </w:pPr>
            <w:r>
              <w:rPr>
                <w:rFonts w:eastAsia="宋体" w:cs="Times New Roman"/>
                <w:sz w:val="24"/>
                <w:szCs w:val="24"/>
              </w:rPr>
              <w:t>投向易受自然相关物理风险影响行业的贷款余额/占</w:t>
            </w:r>
            <w:r>
              <w:rPr>
                <w:rFonts w:hint="eastAsia" w:eastAsia="宋体" w:cs="Times New Roman"/>
                <w:sz w:val="24"/>
                <w:szCs w:val="24"/>
              </w:rPr>
              <w:t>绿色</w:t>
            </w:r>
            <w:r>
              <w:rPr>
                <w:rFonts w:eastAsia="宋体" w:cs="Times New Roman"/>
                <w:sz w:val="24"/>
                <w:szCs w:val="24"/>
              </w:rPr>
              <w:t>信贷资产总额比例</w:t>
            </w:r>
            <w:r>
              <w:rPr>
                <w:rFonts w:eastAsia="宋体" w:cs="Times New Roman"/>
                <w:sz w:val="24"/>
                <w:szCs w:val="24"/>
                <w:vertAlign w:val="superscript"/>
              </w:rPr>
              <w:t>2</w:t>
            </w:r>
          </w:p>
        </w:tc>
        <w:tc>
          <w:tcPr>
            <w:tcW w:w="2777" w:type="dxa"/>
            <w:vAlign w:val="center"/>
          </w:tcPr>
          <w:p w14:paraId="604B6A15">
            <w:pPr>
              <w:widowControl/>
              <w:snapToGrid/>
              <w:spacing w:line="240" w:lineRule="auto"/>
              <w:ind w:firstLine="0" w:firstLineChars="0"/>
              <w:jc w:val="center"/>
              <w:rPr>
                <w:rFonts w:eastAsia="宋体" w:cs="Times New Roman"/>
                <w:sz w:val="24"/>
                <w:szCs w:val="24"/>
              </w:rPr>
            </w:pPr>
            <w:r>
              <w:rPr>
                <w:rFonts w:hint="eastAsia" w:eastAsia="宋体" w:cs="Times New Roman"/>
                <w:sz w:val="24"/>
                <w:szCs w:val="24"/>
              </w:rPr>
              <w:t>0.51亿/27.64%</w:t>
            </w:r>
          </w:p>
        </w:tc>
      </w:tr>
      <w:tr w14:paraId="5B71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14:paraId="0286A43C">
            <w:pPr>
              <w:widowControl/>
              <w:snapToGrid/>
              <w:spacing w:line="240" w:lineRule="auto"/>
              <w:ind w:firstLine="0" w:firstLineChars="0"/>
              <w:jc w:val="center"/>
              <w:rPr>
                <w:rFonts w:eastAsia="宋体" w:cs="Times New Roman"/>
                <w:sz w:val="24"/>
                <w:szCs w:val="24"/>
              </w:rPr>
            </w:pPr>
            <w:r>
              <w:rPr>
                <w:rFonts w:eastAsia="宋体" w:cs="Times New Roman"/>
                <w:sz w:val="24"/>
                <w:szCs w:val="24"/>
              </w:rPr>
              <w:t>风险</w:t>
            </w:r>
          </w:p>
        </w:tc>
        <w:tc>
          <w:tcPr>
            <w:tcW w:w="4041" w:type="dxa"/>
          </w:tcPr>
          <w:p w14:paraId="0758597E">
            <w:pPr>
              <w:widowControl/>
              <w:snapToGrid/>
              <w:spacing w:line="240" w:lineRule="auto"/>
              <w:ind w:firstLine="0" w:firstLineChars="0"/>
              <w:rPr>
                <w:rFonts w:eastAsia="宋体" w:cs="Times New Roman"/>
                <w:sz w:val="24"/>
                <w:szCs w:val="24"/>
              </w:rPr>
            </w:pPr>
            <w:r>
              <w:rPr>
                <w:rFonts w:eastAsia="宋体" w:cs="Times New Roman"/>
                <w:sz w:val="24"/>
                <w:szCs w:val="24"/>
              </w:rPr>
              <w:t>因自然相关负面影响而受到的重大罚款/处罚/诉讼</w:t>
            </w:r>
          </w:p>
        </w:tc>
        <w:tc>
          <w:tcPr>
            <w:tcW w:w="2777" w:type="dxa"/>
            <w:vAlign w:val="center"/>
          </w:tcPr>
          <w:p w14:paraId="4982A1B9">
            <w:pPr>
              <w:widowControl/>
              <w:snapToGrid/>
              <w:spacing w:line="240" w:lineRule="auto"/>
              <w:ind w:firstLine="0" w:firstLineChars="0"/>
              <w:jc w:val="center"/>
              <w:rPr>
                <w:rFonts w:eastAsia="宋体" w:cs="Times New Roman"/>
                <w:sz w:val="24"/>
                <w:szCs w:val="24"/>
              </w:rPr>
            </w:pPr>
            <w:r>
              <w:rPr>
                <w:rFonts w:eastAsia="宋体" w:cs="Times New Roman"/>
                <w:sz w:val="24"/>
                <w:szCs w:val="24"/>
              </w:rPr>
              <w:t>无</w:t>
            </w:r>
          </w:p>
        </w:tc>
      </w:tr>
      <w:tr w14:paraId="58837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14:paraId="2D685B7D">
            <w:pPr>
              <w:widowControl/>
              <w:snapToGrid/>
              <w:spacing w:line="240" w:lineRule="auto"/>
              <w:ind w:firstLine="0" w:firstLineChars="0"/>
              <w:jc w:val="center"/>
              <w:rPr>
                <w:rFonts w:eastAsia="宋体" w:cs="Times New Roman"/>
                <w:sz w:val="24"/>
                <w:szCs w:val="24"/>
              </w:rPr>
            </w:pPr>
            <w:r>
              <w:rPr>
                <w:rFonts w:eastAsia="宋体" w:cs="Times New Roman"/>
                <w:sz w:val="24"/>
                <w:szCs w:val="24"/>
              </w:rPr>
              <w:t>风险</w:t>
            </w:r>
          </w:p>
        </w:tc>
        <w:tc>
          <w:tcPr>
            <w:tcW w:w="4041" w:type="dxa"/>
          </w:tcPr>
          <w:p w14:paraId="48DAA598">
            <w:pPr>
              <w:widowControl/>
              <w:snapToGrid/>
              <w:spacing w:line="240" w:lineRule="auto"/>
              <w:ind w:firstLine="0" w:firstLineChars="0"/>
              <w:rPr>
                <w:rFonts w:eastAsia="宋体" w:cs="Times New Roman"/>
                <w:sz w:val="24"/>
                <w:szCs w:val="24"/>
              </w:rPr>
            </w:pPr>
            <w:r>
              <w:rPr>
                <w:rFonts w:eastAsia="宋体" w:cs="Times New Roman"/>
                <w:sz w:val="24"/>
                <w:szCs w:val="24"/>
              </w:rPr>
              <w:t>自然相关高依赖和影响行业贷款余额/占</w:t>
            </w:r>
            <w:r>
              <w:rPr>
                <w:rFonts w:hint="eastAsia" w:eastAsia="宋体" w:cs="Times New Roman"/>
                <w:sz w:val="24"/>
                <w:szCs w:val="24"/>
              </w:rPr>
              <w:t>绿色</w:t>
            </w:r>
            <w:r>
              <w:rPr>
                <w:rFonts w:eastAsia="宋体" w:cs="Times New Roman"/>
                <w:sz w:val="24"/>
                <w:szCs w:val="24"/>
              </w:rPr>
              <w:t>信贷资产总额比例</w:t>
            </w:r>
            <w:r>
              <w:rPr>
                <w:rFonts w:eastAsia="宋体" w:cs="Times New Roman"/>
                <w:sz w:val="24"/>
                <w:szCs w:val="24"/>
                <w:vertAlign w:val="superscript"/>
              </w:rPr>
              <w:t>3</w:t>
            </w:r>
          </w:p>
        </w:tc>
        <w:tc>
          <w:tcPr>
            <w:tcW w:w="2777" w:type="dxa"/>
            <w:vAlign w:val="center"/>
          </w:tcPr>
          <w:p w14:paraId="62FE19CA">
            <w:pPr>
              <w:widowControl/>
              <w:snapToGrid/>
              <w:spacing w:line="240" w:lineRule="auto"/>
              <w:ind w:firstLine="0" w:firstLineChars="0"/>
              <w:jc w:val="center"/>
              <w:rPr>
                <w:rFonts w:eastAsia="宋体" w:cs="Times New Roman"/>
                <w:sz w:val="24"/>
                <w:szCs w:val="24"/>
              </w:rPr>
            </w:pPr>
            <w:r>
              <w:rPr>
                <w:rFonts w:hint="eastAsia" w:eastAsia="宋体" w:cs="Times New Roman"/>
                <w:sz w:val="24"/>
                <w:szCs w:val="24"/>
              </w:rPr>
              <w:t>0.61亿/33.06%</w:t>
            </w:r>
          </w:p>
        </w:tc>
      </w:tr>
      <w:tr w14:paraId="5E8E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14:paraId="1F3C9CA1">
            <w:pPr>
              <w:widowControl/>
              <w:snapToGrid/>
              <w:spacing w:line="240" w:lineRule="auto"/>
              <w:ind w:firstLine="0" w:firstLineChars="0"/>
              <w:jc w:val="center"/>
              <w:rPr>
                <w:rFonts w:eastAsia="宋体" w:cs="Times New Roman"/>
                <w:sz w:val="24"/>
                <w:szCs w:val="24"/>
              </w:rPr>
            </w:pPr>
            <w:r>
              <w:rPr>
                <w:rFonts w:eastAsia="宋体" w:cs="Times New Roman"/>
                <w:sz w:val="24"/>
                <w:szCs w:val="24"/>
              </w:rPr>
              <w:t>机遇</w:t>
            </w:r>
          </w:p>
        </w:tc>
        <w:tc>
          <w:tcPr>
            <w:tcW w:w="4041" w:type="dxa"/>
          </w:tcPr>
          <w:p w14:paraId="230601E1">
            <w:pPr>
              <w:widowControl/>
              <w:snapToGrid/>
              <w:spacing w:line="240" w:lineRule="auto"/>
              <w:ind w:firstLine="0" w:firstLineChars="0"/>
              <w:rPr>
                <w:rFonts w:eastAsia="宋体" w:cs="Times New Roman"/>
                <w:sz w:val="24"/>
                <w:szCs w:val="24"/>
              </w:rPr>
            </w:pPr>
            <w:r>
              <w:rPr>
                <w:rFonts w:eastAsia="宋体" w:cs="Times New Roman"/>
                <w:sz w:val="24"/>
                <w:szCs w:val="24"/>
              </w:rPr>
              <w:t>绿色贷款融资余额及增速</w:t>
            </w:r>
          </w:p>
        </w:tc>
        <w:tc>
          <w:tcPr>
            <w:tcW w:w="2777" w:type="dxa"/>
            <w:vAlign w:val="center"/>
          </w:tcPr>
          <w:p w14:paraId="539B2309">
            <w:pPr>
              <w:widowControl/>
              <w:snapToGrid/>
              <w:spacing w:line="240" w:lineRule="auto"/>
              <w:ind w:firstLine="0" w:firstLineChars="0"/>
              <w:jc w:val="center"/>
              <w:rPr>
                <w:rFonts w:eastAsia="宋体" w:cs="Times New Roman"/>
                <w:sz w:val="24"/>
                <w:szCs w:val="24"/>
              </w:rPr>
            </w:pPr>
            <w:r>
              <w:rPr>
                <w:rFonts w:eastAsia="宋体" w:cs="Times New Roman"/>
                <w:sz w:val="24"/>
                <w:szCs w:val="24"/>
              </w:rPr>
              <w:t>1.8</w:t>
            </w:r>
            <w:r>
              <w:rPr>
                <w:rFonts w:hint="eastAsia" w:eastAsia="宋体" w:cs="Times New Roman"/>
                <w:sz w:val="24"/>
                <w:szCs w:val="24"/>
              </w:rPr>
              <w:t>4亿/120.97%</w:t>
            </w:r>
          </w:p>
        </w:tc>
      </w:tr>
    </w:tbl>
    <w:p w14:paraId="34541527">
      <w:pPr>
        <w:snapToGrid/>
        <w:spacing w:line="240" w:lineRule="auto"/>
        <w:ind w:firstLine="0" w:firstLineChars="0"/>
        <w:jc w:val="left"/>
        <w:rPr>
          <w:rFonts w:eastAsia="宋体" w:cs="Times New Roman"/>
          <w:sz w:val="21"/>
          <w:szCs w:val="21"/>
        </w:rPr>
      </w:pPr>
      <w:r>
        <w:rPr>
          <w:rFonts w:eastAsia="宋体" w:cs="Times New Roman"/>
          <w:sz w:val="21"/>
          <w:szCs w:val="21"/>
        </w:rPr>
        <w:t>注：</w:t>
      </w:r>
    </w:p>
    <w:p w14:paraId="399C7599">
      <w:pPr>
        <w:numPr>
          <w:ilvl w:val="0"/>
          <w:numId w:val="8"/>
        </w:numPr>
        <w:snapToGrid/>
        <w:spacing w:line="240" w:lineRule="auto"/>
        <w:ind w:firstLine="0" w:firstLineChars="0"/>
        <w:jc w:val="left"/>
        <w:rPr>
          <w:rFonts w:eastAsia="宋体" w:cs="Times New Roman"/>
          <w:sz w:val="21"/>
          <w:szCs w:val="21"/>
        </w:rPr>
      </w:pPr>
      <w:r>
        <w:rPr>
          <w:rFonts w:eastAsia="宋体" w:cs="Times New Roman"/>
          <w:sz w:val="21"/>
          <w:szCs w:val="21"/>
        </w:rPr>
        <w:t xml:space="preserve"> 易受自然相关转型风险影响行业为</w:t>
      </w:r>
      <w:r>
        <w:rPr>
          <w:rFonts w:hint="eastAsia" w:eastAsia="宋体" w:cs="Times New Roman"/>
          <w:sz w:val="21"/>
          <w:szCs w:val="21"/>
        </w:rPr>
        <w:t>污水处理及其再生利用、危险废物治理和太阳能发电</w:t>
      </w:r>
      <w:r>
        <w:rPr>
          <w:rFonts w:eastAsia="宋体" w:cs="Times New Roman"/>
          <w:sz w:val="21"/>
          <w:szCs w:val="21"/>
        </w:rPr>
        <w:t>；</w:t>
      </w:r>
    </w:p>
    <w:p w14:paraId="7AD7C801">
      <w:pPr>
        <w:numPr>
          <w:ilvl w:val="0"/>
          <w:numId w:val="8"/>
        </w:numPr>
        <w:snapToGrid/>
        <w:spacing w:line="240" w:lineRule="auto"/>
        <w:ind w:firstLine="0" w:firstLineChars="0"/>
        <w:jc w:val="left"/>
        <w:rPr>
          <w:rFonts w:eastAsia="宋体" w:cs="Times New Roman"/>
          <w:sz w:val="21"/>
          <w:szCs w:val="21"/>
        </w:rPr>
      </w:pPr>
      <w:r>
        <w:rPr>
          <w:rFonts w:eastAsia="宋体" w:cs="Times New Roman"/>
          <w:sz w:val="21"/>
          <w:szCs w:val="21"/>
        </w:rPr>
        <w:t xml:space="preserve"> 易受自然相关物理风险影响行业为</w:t>
      </w:r>
      <w:r>
        <w:rPr>
          <w:rFonts w:hint="eastAsia" w:eastAsia="宋体" w:cs="Times New Roman"/>
          <w:sz w:val="21"/>
          <w:szCs w:val="21"/>
        </w:rPr>
        <w:t>污水处理及其再生利用、住宅房屋建筑和太阳能发电</w:t>
      </w:r>
      <w:r>
        <w:rPr>
          <w:rFonts w:eastAsia="宋体" w:cs="Times New Roman"/>
          <w:sz w:val="21"/>
          <w:szCs w:val="21"/>
        </w:rPr>
        <w:t>；</w:t>
      </w:r>
    </w:p>
    <w:p w14:paraId="5FF00AE4">
      <w:pPr>
        <w:numPr>
          <w:ilvl w:val="0"/>
          <w:numId w:val="8"/>
        </w:numPr>
        <w:snapToGrid/>
        <w:spacing w:line="240" w:lineRule="auto"/>
        <w:ind w:firstLine="0" w:firstLineChars="0"/>
        <w:jc w:val="left"/>
        <w:rPr>
          <w:rFonts w:eastAsia="宋体" w:cs="Times New Roman"/>
          <w:sz w:val="21"/>
          <w:szCs w:val="21"/>
        </w:rPr>
      </w:pPr>
      <w:r>
        <w:rPr>
          <w:rFonts w:eastAsia="宋体" w:cs="Times New Roman"/>
          <w:sz w:val="21"/>
          <w:szCs w:val="21"/>
        </w:rPr>
        <w:t xml:space="preserve"> 自然相关高依赖和影响行业为</w:t>
      </w:r>
      <w:r>
        <w:rPr>
          <w:rFonts w:hint="eastAsia" w:eastAsia="宋体" w:cs="Times New Roman"/>
          <w:sz w:val="21"/>
          <w:szCs w:val="21"/>
        </w:rPr>
        <w:t>污水处理及其再生利用、危险废物治理、太阳能发电和住宅房屋建筑。</w:t>
      </w:r>
    </w:p>
    <w:p w14:paraId="04652CAD">
      <w:pPr>
        <w:keepNext/>
        <w:keepLines/>
        <w:numPr>
          <w:ilvl w:val="1"/>
          <w:numId w:val="1"/>
        </w:numPr>
        <w:ind w:firstLine="200" w:firstLineChars="0"/>
        <w:outlineLvl w:val="1"/>
        <w:rPr>
          <w:rFonts w:eastAsia="宋体" w:cs="Times New Roman"/>
          <w:b/>
          <w:bCs/>
          <w:szCs w:val="26"/>
        </w:rPr>
      </w:pPr>
      <w:bookmarkStart w:id="212" w:name="_Toc20122"/>
      <w:bookmarkStart w:id="213" w:name="_Toc1317"/>
      <w:bookmarkStart w:id="214" w:name="_Toc29183"/>
      <w:bookmarkStart w:id="215" w:name="_Toc225235198"/>
      <w:bookmarkStart w:id="216" w:name="_Toc28452"/>
      <w:r>
        <w:rPr>
          <w:rFonts w:eastAsia="宋体" w:cs="Times New Roman"/>
          <w:b/>
          <w:bCs/>
          <w:szCs w:val="26"/>
        </w:rPr>
        <w:t>自然相关依赖与影响、风险与机遇目标</w:t>
      </w:r>
      <w:bookmarkEnd w:id="212"/>
      <w:bookmarkEnd w:id="213"/>
      <w:bookmarkEnd w:id="214"/>
      <w:bookmarkEnd w:id="215"/>
      <w:bookmarkEnd w:id="216"/>
    </w:p>
    <w:p w14:paraId="60840BE9">
      <w:pPr>
        <w:spacing w:after="120"/>
        <w:ind w:firstLine="560"/>
        <w:rPr>
          <w:rFonts w:eastAsia="宋体" w:cs="Times New Roman"/>
        </w:rPr>
      </w:pPr>
      <w:r>
        <w:rPr>
          <w:rFonts w:hint="eastAsia" w:eastAsia="宋体" w:cs="Times New Roman"/>
        </w:rPr>
        <w:t>本行</w:t>
      </w:r>
      <w:r>
        <w:rPr>
          <w:rFonts w:eastAsia="宋体" w:cs="Times New Roman"/>
        </w:rPr>
        <w:t>已将自然相关因素全面融入战略管理体系，在应对气候变化、可持续金融等方面均设置了绩效目标。同时，我们将持续优化自身环境表现，提升绿色资产占比，实现生态效益与经营绩效的协同提升。</w:t>
      </w:r>
    </w:p>
    <w:p w14:paraId="045C5A17">
      <w:pPr>
        <w:keepNext/>
        <w:ind w:firstLine="482"/>
        <w:jc w:val="center"/>
        <w:rPr>
          <w:rFonts w:eastAsia="宋体" w:cs="Times New Roman"/>
          <w:b/>
          <w:bCs/>
          <w:sz w:val="24"/>
          <w:szCs w:val="18"/>
        </w:rPr>
      </w:pPr>
      <w:r>
        <w:rPr>
          <w:rFonts w:hint="eastAsia" w:eastAsia="宋体" w:cs="Times New Roman"/>
          <w:b/>
          <w:bCs/>
          <w:sz w:val="24"/>
          <w:szCs w:val="18"/>
        </w:rPr>
        <w:t>表</w:t>
      </w:r>
      <w:r>
        <w:rPr>
          <w:rFonts w:eastAsia="宋体" w:cs="Times New Roman"/>
          <w:b/>
          <w:bCs/>
          <w:sz w:val="24"/>
          <w:szCs w:val="18"/>
        </w:rPr>
        <w:t>11</w:t>
      </w:r>
      <w:r>
        <w:rPr>
          <w:rFonts w:hint="eastAsia" w:eastAsia="宋体" w:cs="Times New Roman"/>
          <w:b/>
          <w:bCs/>
          <w:sz w:val="24"/>
          <w:szCs w:val="18"/>
        </w:rPr>
        <w:t>.乌海银行</w:t>
      </w:r>
      <w:r>
        <w:rPr>
          <w:rFonts w:eastAsia="宋体" w:cs="Times New Roman"/>
          <w:b/>
          <w:bCs/>
          <w:sz w:val="24"/>
          <w:szCs w:val="18"/>
        </w:rPr>
        <w:t>自然相关依赖与影响、风险与机遇目标</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7"/>
        <w:gridCol w:w="6835"/>
      </w:tblGrid>
      <w:tr w14:paraId="3E1B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642" w:type="dxa"/>
            <w:shd w:val="clear" w:color="auto" w:fill="44546A"/>
            <w:vAlign w:val="center"/>
          </w:tcPr>
          <w:p w14:paraId="55393CEE">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分类</w:t>
            </w:r>
          </w:p>
        </w:tc>
        <w:tc>
          <w:tcPr>
            <w:tcW w:w="6654" w:type="dxa"/>
            <w:shd w:val="clear" w:color="auto" w:fill="44546A"/>
            <w:vAlign w:val="center"/>
          </w:tcPr>
          <w:p w14:paraId="35F07575">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目标</w:t>
            </w:r>
            <w:r>
              <w:rPr>
                <w:rFonts w:hint="eastAsia" w:eastAsia="宋体" w:cs="Times New Roman"/>
                <w:b/>
                <w:bCs/>
                <w:color w:val="FFFFFF"/>
                <w:sz w:val="24"/>
                <w:szCs w:val="24"/>
              </w:rPr>
              <w:t>（至</w:t>
            </w:r>
            <w:r>
              <w:rPr>
                <w:rFonts w:eastAsia="宋体" w:cs="Times New Roman"/>
                <w:b/>
                <w:bCs/>
                <w:color w:val="FFFFFF"/>
                <w:sz w:val="24"/>
                <w:szCs w:val="24"/>
              </w:rPr>
              <w:t>2030</w:t>
            </w:r>
            <w:r>
              <w:rPr>
                <w:rFonts w:hint="eastAsia" w:eastAsia="宋体" w:cs="Times New Roman"/>
                <w:b/>
                <w:bCs/>
                <w:color w:val="FFFFFF"/>
                <w:sz w:val="24"/>
                <w:szCs w:val="24"/>
              </w:rPr>
              <w:t>年）</w:t>
            </w:r>
          </w:p>
        </w:tc>
      </w:tr>
      <w:tr w14:paraId="1A70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642" w:type="dxa"/>
            <w:vAlign w:val="center"/>
          </w:tcPr>
          <w:p w14:paraId="4F541CB3">
            <w:pPr>
              <w:widowControl/>
              <w:snapToGrid/>
              <w:spacing w:line="240" w:lineRule="auto"/>
              <w:ind w:firstLine="0" w:firstLineChars="0"/>
              <w:jc w:val="center"/>
              <w:rPr>
                <w:rFonts w:eastAsia="宋体" w:cs="Times New Roman"/>
                <w:sz w:val="24"/>
                <w:szCs w:val="24"/>
              </w:rPr>
            </w:pPr>
            <w:r>
              <w:rPr>
                <w:rFonts w:eastAsia="宋体" w:cs="Times New Roman"/>
                <w:sz w:val="24"/>
                <w:szCs w:val="24"/>
              </w:rPr>
              <w:t>水资源利用</w:t>
            </w:r>
          </w:p>
        </w:tc>
        <w:tc>
          <w:tcPr>
            <w:tcW w:w="6654" w:type="dxa"/>
            <w:vAlign w:val="center"/>
          </w:tcPr>
          <w:p w14:paraId="1A2DC0B5">
            <w:pPr>
              <w:widowControl/>
              <w:snapToGrid/>
              <w:spacing w:line="240" w:lineRule="auto"/>
              <w:ind w:firstLine="0" w:firstLineChars="0"/>
              <w:jc w:val="center"/>
              <w:rPr>
                <w:rFonts w:eastAsia="宋体" w:cs="Times New Roman"/>
                <w:sz w:val="24"/>
                <w:szCs w:val="24"/>
              </w:rPr>
            </w:pPr>
            <w:r>
              <w:rPr>
                <w:rFonts w:hint="eastAsia" w:eastAsia="宋体" w:cs="Times New Roman"/>
                <w:sz w:val="24"/>
                <w:szCs w:val="24"/>
              </w:rPr>
              <w:t>单位运营面积</w:t>
            </w:r>
            <w:r>
              <w:rPr>
                <w:rFonts w:eastAsia="宋体" w:cs="Times New Roman"/>
                <w:sz w:val="24"/>
                <w:szCs w:val="24"/>
              </w:rPr>
              <w:t>耗水量较2025年</w:t>
            </w:r>
            <w:r>
              <w:rPr>
                <w:rFonts w:hint="eastAsia" w:eastAsia="宋体" w:cs="Times New Roman"/>
                <w:sz w:val="24"/>
                <w:szCs w:val="24"/>
              </w:rPr>
              <w:t>减少</w:t>
            </w:r>
          </w:p>
        </w:tc>
      </w:tr>
      <w:tr w14:paraId="201E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642" w:type="dxa"/>
            <w:vAlign w:val="center"/>
          </w:tcPr>
          <w:p w14:paraId="576BE0A5">
            <w:pPr>
              <w:widowControl/>
              <w:snapToGrid/>
              <w:spacing w:line="240" w:lineRule="auto"/>
              <w:ind w:firstLine="0" w:firstLineChars="0"/>
              <w:jc w:val="center"/>
              <w:rPr>
                <w:rFonts w:eastAsia="宋体" w:cs="Times New Roman"/>
                <w:sz w:val="24"/>
                <w:szCs w:val="24"/>
              </w:rPr>
            </w:pPr>
            <w:r>
              <w:rPr>
                <w:rFonts w:eastAsia="宋体" w:cs="Times New Roman"/>
                <w:sz w:val="24"/>
                <w:szCs w:val="24"/>
              </w:rPr>
              <w:t>绿色办公</w:t>
            </w:r>
          </w:p>
        </w:tc>
        <w:tc>
          <w:tcPr>
            <w:tcW w:w="6654" w:type="dxa"/>
            <w:vAlign w:val="center"/>
          </w:tcPr>
          <w:p w14:paraId="123BB197">
            <w:pPr>
              <w:widowControl/>
              <w:snapToGrid/>
              <w:spacing w:line="240" w:lineRule="auto"/>
              <w:ind w:firstLine="0" w:firstLineChars="0"/>
              <w:jc w:val="center"/>
              <w:rPr>
                <w:rFonts w:eastAsia="宋体" w:cs="Times New Roman"/>
                <w:sz w:val="24"/>
                <w:szCs w:val="24"/>
              </w:rPr>
            </w:pPr>
            <w:r>
              <w:rPr>
                <w:rFonts w:hint="eastAsia" w:eastAsia="宋体" w:cs="Times New Roman"/>
                <w:sz w:val="24"/>
                <w:szCs w:val="24"/>
              </w:rPr>
              <w:t>推进无纸化转型，</w:t>
            </w:r>
            <w:r>
              <w:rPr>
                <w:rFonts w:eastAsia="宋体" w:cs="Times New Roman"/>
                <w:sz w:val="24"/>
                <w:szCs w:val="24"/>
              </w:rPr>
              <w:t>自身运营消耗纸制品量较2025年</w:t>
            </w:r>
            <w:r>
              <w:rPr>
                <w:rFonts w:hint="eastAsia" w:eastAsia="宋体" w:cs="Times New Roman"/>
                <w:sz w:val="24"/>
                <w:szCs w:val="24"/>
              </w:rPr>
              <w:t>减少</w:t>
            </w:r>
          </w:p>
        </w:tc>
      </w:tr>
      <w:tr w14:paraId="01FD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642" w:type="dxa"/>
            <w:vAlign w:val="center"/>
          </w:tcPr>
          <w:p w14:paraId="3F59D176">
            <w:pPr>
              <w:widowControl/>
              <w:snapToGrid/>
              <w:spacing w:line="240" w:lineRule="auto"/>
              <w:ind w:firstLine="0" w:firstLineChars="0"/>
              <w:jc w:val="center"/>
              <w:rPr>
                <w:rFonts w:eastAsia="宋体" w:cs="Times New Roman"/>
                <w:sz w:val="24"/>
                <w:szCs w:val="24"/>
              </w:rPr>
            </w:pPr>
            <w:r>
              <w:rPr>
                <w:rFonts w:eastAsia="宋体" w:cs="Times New Roman"/>
                <w:sz w:val="24"/>
                <w:szCs w:val="24"/>
              </w:rPr>
              <w:t>可持续金融</w:t>
            </w:r>
          </w:p>
        </w:tc>
        <w:tc>
          <w:tcPr>
            <w:tcW w:w="6654" w:type="dxa"/>
            <w:vAlign w:val="center"/>
          </w:tcPr>
          <w:p w14:paraId="1E6068A0">
            <w:pPr>
              <w:widowControl/>
              <w:numPr>
                <w:ilvl w:val="255"/>
                <w:numId w:val="0"/>
              </w:numPr>
              <w:snapToGrid/>
              <w:spacing w:line="240" w:lineRule="auto"/>
              <w:jc w:val="center"/>
              <w:rPr>
                <w:rFonts w:eastAsia="宋体" w:cs="Times New Roman"/>
                <w:sz w:val="24"/>
                <w:szCs w:val="24"/>
              </w:rPr>
            </w:pPr>
            <w:r>
              <w:rPr>
                <w:rFonts w:hint="eastAsia" w:eastAsia="宋体" w:cs="Times New Roman"/>
                <w:sz w:val="24"/>
                <w:szCs w:val="24"/>
              </w:rPr>
              <w:t>绿色信贷余额和占比持续提高</w:t>
            </w:r>
          </w:p>
        </w:tc>
      </w:tr>
    </w:tbl>
    <w:p w14:paraId="199811E2">
      <w:pPr>
        <w:ind w:firstLine="482"/>
        <w:rPr>
          <w:rFonts w:eastAsia="宋体" w:cs="Times New Roman"/>
          <w:b/>
          <w:bCs/>
          <w:sz w:val="24"/>
          <w:szCs w:val="28"/>
        </w:rPr>
      </w:pPr>
      <w:bookmarkStart w:id="217" w:name="_Toc29385"/>
      <w:bookmarkStart w:id="218" w:name="_Toc19433"/>
      <w:bookmarkStart w:id="219" w:name="_Toc32121"/>
      <w:bookmarkStart w:id="220" w:name="_Toc225235199"/>
      <w:r>
        <w:rPr>
          <w:rFonts w:eastAsia="宋体" w:cs="Times New Roman"/>
          <w:b/>
          <w:bCs/>
          <w:sz w:val="24"/>
          <w:szCs w:val="28"/>
        </w:rPr>
        <w:br w:type="page"/>
      </w:r>
    </w:p>
    <w:p w14:paraId="7786EF15">
      <w:pPr>
        <w:keepNext/>
        <w:keepLines/>
        <w:ind w:firstLine="0" w:firstLineChars="0"/>
        <w:outlineLvl w:val="0"/>
        <w:rPr>
          <w:rFonts w:eastAsia="宋体" w:cs="Times New Roman"/>
          <w:b/>
          <w:bCs/>
          <w:sz w:val="24"/>
          <w:szCs w:val="28"/>
        </w:rPr>
      </w:pPr>
      <w:bookmarkStart w:id="221" w:name="_Toc14470"/>
      <w:r>
        <w:rPr>
          <w:rFonts w:eastAsia="宋体" w:cs="Times New Roman"/>
          <w:b/>
          <w:bCs/>
          <w:sz w:val="24"/>
          <w:szCs w:val="28"/>
        </w:rPr>
        <w:t>附录：TNFD索引</w:t>
      </w:r>
      <w:bookmarkEnd w:id="217"/>
      <w:bookmarkEnd w:id="218"/>
      <w:bookmarkEnd w:id="219"/>
      <w:bookmarkEnd w:id="220"/>
      <w:bookmarkEnd w:id="221"/>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4961"/>
        <w:gridCol w:w="2318"/>
      </w:tblGrid>
      <w:tr w14:paraId="5116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43" w:type="dxa"/>
            <w:shd w:val="clear" w:color="auto" w:fill="44546A"/>
            <w:vAlign w:val="center"/>
          </w:tcPr>
          <w:p w14:paraId="230CF254">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TNFD框架</w:t>
            </w:r>
          </w:p>
        </w:tc>
        <w:tc>
          <w:tcPr>
            <w:tcW w:w="4961" w:type="dxa"/>
            <w:shd w:val="clear" w:color="auto" w:fill="44546A"/>
            <w:vAlign w:val="center"/>
          </w:tcPr>
          <w:p w14:paraId="696888FE">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具体描述</w:t>
            </w:r>
          </w:p>
        </w:tc>
        <w:tc>
          <w:tcPr>
            <w:tcW w:w="2318" w:type="dxa"/>
            <w:shd w:val="clear" w:color="auto" w:fill="44546A"/>
            <w:vAlign w:val="center"/>
          </w:tcPr>
          <w:p w14:paraId="17302EFE">
            <w:pPr>
              <w:widowControl/>
              <w:snapToGrid/>
              <w:spacing w:line="240" w:lineRule="auto"/>
              <w:ind w:firstLine="0" w:firstLineChars="0"/>
              <w:jc w:val="center"/>
              <w:rPr>
                <w:rFonts w:eastAsia="宋体" w:cs="Times New Roman"/>
                <w:b/>
                <w:bCs/>
                <w:color w:val="FFFFFF"/>
                <w:sz w:val="24"/>
                <w:szCs w:val="24"/>
              </w:rPr>
            </w:pPr>
            <w:r>
              <w:rPr>
                <w:rFonts w:eastAsia="宋体" w:cs="Times New Roman"/>
                <w:b/>
                <w:bCs/>
                <w:color w:val="FFFFFF"/>
                <w:sz w:val="24"/>
                <w:szCs w:val="24"/>
              </w:rPr>
              <w:t>对应章节</w:t>
            </w:r>
          </w:p>
        </w:tc>
      </w:tr>
      <w:tr w14:paraId="1970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243" w:type="dxa"/>
            <w:vMerge w:val="restart"/>
            <w:vAlign w:val="center"/>
          </w:tcPr>
          <w:p w14:paraId="04E2939B">
            <w:pPr>
              <w:widowControl/>
              <w:snapToGrid/>
              <w:spacing w:line="240" w:lineRule="auto"/>
              <w:ind w:firstLine="0" w:firstLineChars="0"/>
              <w:jc w:val="center"/>
              <w:rPr>
                <w:rFonts w:eastAsia="宋体" w:cs="Times New Roman"/>
                <w:sz w:val="24"/>
                <w:szCs w:val="24"/>
              </w:rPr>
            </w:pPr>
            <w:r>
              <w:rPr>
                <w:rFonts w:eastAsia="宋体" w:cs="Times New Roman"/>
                <w:sz w:val="24"/>
                <w:szCs w:val="24"/>
              </w:rPr>
              <w:t>治理</w:t>
            </w:r>
          </w:p>
        </w:tc>
        <w:tc>
          <w:tcPr>
            <w:tcW w:w="4961" w:type="dxa"/>
            <w:vAlign w:val="center"/>
          </w:tcPr>
          <w:p w14:paraId="5FAC9D9E">
            <w:pPr>
              <w:widowControl/>
              <w:snapToGrid/>
              <w:spacing w:line="240" w:lineRule="auto"/>
              <w:ind w:firstLine="0" w:firstLineChars="0"/>
              <w:rPr>
                <w:rFonts w:eastAsia="宋体" w:cs="Times New Roman"/>
                <w:sz w:val="24"/>
                <w:szCs w:val="24"/>
              </w:rPr>
            </w:pPr>
            <w:r>
              <w:rPr>
                <w:rFonts w:eastAsia="宋体" w:cs="Times New Roman"/>
                <w:sz w:val="24"/>
                <w:szCs w:val="24"/>
              </w:rPr>
              <w:t>A. 描述董事会对自然相关依赖关系、影响、风险和机遇的监督。</w:t>
            </w:r>
          </w:p>
        </w:tc>
        <w:tc>
          <w:tcPr>
            <w:tcW w:w="2318" w:type="dxa"/>
            <w:vAlign w:val="center"/>
          </w:tcPr>
          <w:p w14:paraId="212037FB">
            <w:pPr>
              <w:widowControl/>
              <w:snapToGrid/>
              <w:spacing w:line="240" w:lineRule="auto"/>
              <w:ind w:firstLine="0" w:firstLineChars="0"/>
              <w:jc w:val="center"/>
              <w:rPr>
                <w:rFonts w:eastAsia="宋体" w:cs="Times New Roman"/>
                <w:sz w:val="24"/>
                <w:szCs w:val="24"/>
              </w:rPr>
            </w:pPr>
            <w:r>
              <w:rPr>
                <w:rFonts w:eastAsia="宋体" w:cs="Times New Roman"/>
                <w:sz w:val="24"/>
                <w:szCs w:val="24"/>
              </w:rPr>
              <w:t>自然相关治理架构</w:t>
            </w:r>
          </w:p>
        </w:tc>
      </w:tr>
      <w:tr w14:paraId="3A6A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243" w:type="dxa"/>
            <w:vMerge w:val="continue"/>
            <w:vAlign w:val="center"/>
          </w:tcPr>
          <w:p w14:paraId="2117E3AC">
            <w:pPr>
              <w:widowControl/>
              <w:snapToGrid/>
              <w:spacing w:line="240" w:lineRule="auto"/>
              <w:ind w:firstLine="480" w:firstLineChars="0"/>
              <w:jc w:val="center"/>
              <w:rPr>
                <w:rFonts w:eastAsia="宋体" w:cs="Times New Roman"/>
                <w:sz w:val="24"/>
                <w:szCs w:val="24"/>
              </w:rPr>
            </w:pPr>
          </w:p>
        </w:tc>
        <w:tc>
          <w:tcPr>
            <w:tcW w:w="4961" w:type="dxa"/>
            <w:vAlign w:val="center"/>
          </w:tcPr>
          <w:p w14:paraId="38F05ECD">
            <w:pPr>
              <w:widowControl/>
              <w:snapToGrid/>
              <w:spacing w:line="240" w:lineRule="auto"/>
              <w:ind w:firstLine="0" w:firstLineChars="0"/>
              <w:rPr>
                <w:rFonts w:eastAsia="宋体" w:cs="Times New Roman"/>
                <w:sz w:val="24"/>
                <w:szCs w:val="24"/>
              </w:rPr>
            </w:pPr>
            <w:r>
              <w:rPr>
                <w:rFonts w:eastAsia="宋体" w:cs="Times New Roman"/>
                <w:sz w:val="24"/>
                <w:szCs w:val="24"/>
              </w:rPr>
              <w:t>B. 描述管理层在评估和管理与自然相关的依赖关系、影响、风险和机遇方面的作用。</w:t>
            </w:r>
          </w:p>
        </w:tc>
        <w:tc>
          <w:tcPr>
            <w:tcW w:w="2318" w:type="dxa"/>
            <w:vAlign w:val="center"/>
          </w:tcPr>
          <w:p w14:paraId="4417A9CB">
            <w:pPr>
              <w:widowControl/>
              <w:snapToGrid/>
              <w:spacing w:line="240" w:lineRule="auto"/>
              <w:ind w:firstLine="0" w:firstLineChars="0"/>
              <w:jc w:val="center"/>
              <w:rPr>
                <w:rFonts w:eastAsia="宋体" w:cs="Times New Roman"/>
                <w:sz w:val="24"/>
                <w:szCs w:val="24"/>
              </w:rPr>
            </w:pPr>
            <w:r>
              <w:rPr>
                <w:rFonts w:eastAsia="宋体" w:cs="Times New Roman"/>
                <w:sz w:val="24"/>
                <w:szCs w:val="24"/>
              </w:rPr>
              <w:t>自然相关治理架构</w:t>
            </w:r>
          </w:p>
        </w:tc>
      </w:tr>
      <w:tr w14:paraId="1219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3" w:type="dxa"/>
            <w:vMerge w:val="continue"/>
            <w:vAlign w:val="center"/>
          </w:tcPr>
          <w:p w14:paraId="25477520">
            <w:pPr>
              <w:widowControl/>
              <w:snapToGrid/>
              <w:spacing w:line="240" w:lineRule="auto"/>
              <w:ind w:firstLine="480" w:firstLineChars="0"/>
              <w:jc w:val="center"/>
              <w:rPr>
                <w:rFonts w:eastAsia="宋体" w:cs="Times New Roman"/>
                <w:sz w:val="24"/>
                <w:szCs w:val="24"/>
              </w:rPr>
            </w:pPr>
          </w:p>
        </w:tc>
        <w:tc>
          <w:tcPr>
            <w:tcW w:w="4961" w:type="dxa"/>
            <w:vAlign w:val="center"/>
          </w:tcPr>
          <w:p w14:paraId="62795745">
            <w:pPr>
              <w:widowControl/>
              <w:snapToGrid/>
              <w:spacing w:line="240" w:lineRule="auto"/>
              <w:ind w:firstLine="0" w:firstLineChars="0"/>
              <w:rPr>
                <w:rFonts w:eastAsia="宋体" w:cs="Times New Roman"/>
                <w:sz w:val="24"/>
                <w:szCs w:val="24"/>
              </w:rPr>
            </w:pPr>
            <w:r>
              <w:rPr>
                <w:rFonts w:eastAsia="宋体" w:cs="Times New Roman"/>
                <w:sz w:val="24"/>
                <w:szCs w:val="24"/>
              </w:rPr>
              <w:t>C. 在组织评估和应对与自然相关的依赖、影响、风险和机遇时，描述该组织的人权政策和参与活动，以及董事会和管理层对土著人民、当地社区、受影响和其他利益相关者的监督。</w:t>
            </w:r>
          </w:p>
        </w:tc>
        <w:tc>
          <w:tcPr>
            <w:tcW w:w="2318" w:type="dxa"/>
            <w:vAlign w:val="center"/>
          </w:tcPr>
          <w:p w14:paraId="56F69863">
            <w:pPr>
              <w:widowControl/>
              <w:snapToGrid/>
              <w:spacing w:line="240" w:lineRule="auto"/>
              <w:ind w:firstLine="0" w:firstLineChars="0"/>
              <w:jc w:val="center"/>
              <w:rPr>
                <w:rFonts w:eastAsia="宋体" w:cs="Times New Roman"/>
                <w:sz w:val="24"/>
                <w:szCs w:val="24"/>
              </w:rPr>
            </w:pPr>
            <w:r>
              <w:rPr>
                <w:rFonts w:eastAsia="宋体" w:cs="Times New Roman"/>
                <w:sz w:val="24"/>
                <w:szCs w:val="24"/>
              </w:rPr>
              <w:t>利益相关方参与</w:t>
            </w:r>
          </w:p>
        </w:tc>
      </w:tr>
      <w:tr w14:paraId="6DF9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3" w:type="dxa"/>
            <w:vMerge w:val="restart"/>
            <w:vAlign w:val="center"/>
          </w:tcPr>
          <w:p w14:paraId="76056A32">
            <w:pPr>
              <w:widowControl/>
              <w:snapToGrid/>
              <w:spacing w:line="240" w:lineRule="auto"/>
              <w:ind w:firstLine="0" w:firstLineChars="0"/>
              <w:jc w:val="center"/>
              <w:rPr>
                <w:rFonts w:eastAsia="宋体" w:cs="Times New Roman"/>
                <w:sz w:val="24"/>
                <w:szCs w:val="24"/>
              </w:rPr>
            </w:pPr>
            <w:r>
              <w:rPr>
                <w:rFonts w:eastAsia="宋体" w:cs="Times New Roman"/>
                <w:sz w:val="24"/>
                <w:szCs w:val="24"/>
              </w:rPr>
              <w:t>战略</w:t>
            </w:r>
          </w:p>
        </w:tc>
        <w:tc>
          <w:tcPr>
            <w:tcW w:w="4961" w:type="dxa"/>
            <w:vAlign w:val="center"/>
          </w:tcPr>
          <w:p w14:paraId="2E030480">
            <w:pPr>
              <w:widowControl/>
              <w:snapToGrid/>
              <w:spacing w:line="240" w:lineRule="auto"/>
              <w:ind w:firstLine="0" w:firstLineChars="0"/>
              <w:rPr>
                <w:rFonts w:eastAsia="宋体" w:cs="Times New Roman"/>
                <w:sz w:val="24"/>
                <w:szCs w:val="24"/>
              </w:rPr>
            </w:pPr>
            <w:r>
              <w:rPr>
                <w:rFonts w:eastAsia="宋体" w:cs="Times New Roman"/>
                <w:sz w:val="24"/>
                <w:szCs w:val="24"/>
              </w:rPr>
              <w:t>A. 描述组织识别的短期、中期和长期的自然相关依赖、影响、风险与机遇。</w:t>
            </w:r>
          </w:p>
        </w:tc>
        <w:tc>
          <w:tcPr>
            <w:tcW w:w="2318" w:type="dxa"/>
            <w:vAlign w:val="center"/>
          </w:tcPr>
          <w:p w14:paraId="73009AF6">
            <w:pPr>
              <w:widowControl/>
              <w:snapToGrid/>
              <w:spacing w:line="240" w:lineRule="auto"/>
              <w:ind w:firstLine="0" w:firstLineChars="0"/>
              <w:jc w:val="center"/>
              <w:rPr>
                <w:rFonts w:eastAsia="宋体" w:cs="Times New Roman"/>
                <w:sz w:val="24"/>
                <w:szCs w:val="24"/>
              </w:rPr>
            </w:pPr>
            <w:r>
              <w:rPr>
                <w:rFonts w:eastAsia="宋体" w:cs="Times New Roman"/>
                <w:sz w:val="24"/>
                <w:szCs w:val="24"/>
              </w:rPr>
              <w:t>评估自然相关依赖与影响</w:t>
            </w:r>
          </w:p>
          <w:p w14:paraId="5F366FD3">
            <w:pPr>
              <w:widowControl/>
              <w:snapToGrid/>
              <w:spacing w:line="240" w:lineRule="auto"/>
              <w:ind w:firstLine="0" w:firstLineChars="0"/>
              <w:jc w:val="center"/>
              <w:rPr>
                <w:rFonts w:eastAsia="宋体" w:cs="Times New Roman"/>
                <w:sz w:val="24"/>
                <w:szCs w:val="24"/>
              </w:rPr>
            </w:pPr>
            <w:r>
              <w:rPr>
                <w:rFonts w:hint="eastAsia" w:eastAsia="宋体" w:cs="Times New Roman"/>
                <w:sz w:val="24"/>
                <w:szCs w:val="24"/>
              </w:rPr>
              <w:t>识别与自然的关联</w:t>
            </w:r>
          </w:p>
          <w:p w14:paraId="65891130">
            <w:pPr>
              <w:widowControl/>
              <w:snapToGrid/>
              <w:spacing w:line="240" w:lineRule="auto"/>
              <w:ind w:firstLine="0" w:firstLineChars="0"/>
              <w:jc w:val="center"/>
              <w:rPr>
                <w:rFonts w:eastAsia="宋体" w:cs="Times New Roman"/>
                <w:sz w:val="24"/>
                <w:szCs w:val="24"/>
              </w:rPr>
            </w:pPr>
            <w:r>
              <w:rPr>
                <w:rFonts w:eastAsia="宋体" w:cs="Times New Roman"/>
                <w:sz w:val="24"/>
                <w:szCs w:val="24"/>
              </w:rPr>
              <w:t>分析自然相关风险分析自然相关机遇</w:t>
            </w:r>
          </w:p>
        </w:tc>
      </w:tr>
      <w:tr w14:paraId="6B0A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243" w:type="dxa"/>
            <w:vMerge w:val="continue"/>
            <w:vAlign w:val="center"/>
          </w:tcPr>
          <w:p w14:paraId="560F4300">
            <w:pPr>
              <w:widowControl/>
              <w:snapToGrid/>
              <w:spacing w:line="240" w:lineRule="auto"/>
              <w:ind w:firstLine="480" w:firstLineChars="0"/>
              <w:jc w:val="center"/>
              <w:rPr>
                <w:rFonts w:eastAsia="宋体" w:cs="Times New Roman"/>
                <w:sz w:val="24"/>
                <w:szCs w:val="24"/>
              </w:rPr>
            </w:pPr>
          </w:p>
        </w:tc>
        <w:tc>
          <w:tcPr>
            <w:tcW w:w="4961" w:type="dxa"/>
            <w:vAlign w:val="center"/>
          </w:tcPr>
          <w:p w14:paraId="0680A22D">
            <w:pPr>
              <w:widowControl/>
              <w:snapToGrid/>
              <w:spacing w:line="240" w:lineRule="auto"/>
              <w:ind w:firstLine="0" w:firstLineChars="0"/>
              <w:rPr>
                <w:rFonts w:eastAsia="宋体" w:cs="Times New Roman"/>
                <w:sz w:val="24"/>
                <w:szCs w:val="24"/>
              </w:rPr>
            </w:pPr>
            <w:r>
              <w:rPr>
                <w:rFonts w:eastAsia="宋体" w:cs="Times New Roman"/>
                <w:sz w:val="24"/>
                <w:szCs w:val="24"/>
              </w:rPr>
              <w:t>B. 描述自然相关依赖、影响、风险与机遇对组织的商业模式、价值链、战略和财务规划的影响，以及任何已就绪的转型计划或分析。</w:t>
            </w:r>
          </w:p>
        </w:tc>
        <w:tc>
          <w:tcPr>
            <w:tcW w:w="2318" w:type="dxa"/>
            <w:vAlign w:val="center"/>
          </w:tcPr>
          <w:p w14:paraId="32034137">
            <w:pPr>
              <w:widowControl/>
              <w:snapToGrid/>
              <w:spacing w:line="240" w:lineRule="auto"/>
              <w:ind w:firstLine="0" w:firstLineChars="0"/>
              <w:jc w:val="center"/>
              <w:rPr>
                <w:rFonts w:eastAsia="宋体" w:cs="Times New Roman"/>
                <w:sz w:val="24"/>
                <w:szCs w:val="24"/>
              </w:rPr>
            </w:pPr>
            <w:r>
              <w:rPr>
                <w:rFonts w:eastAsia="宋体" w:cs="Times New Roman"/>
                <w:sz w:val="24"/>
                <w:szCs w:val="24"/>
              </w:rPr>
              <w:t>分析自然相关风险分析自然相关机遇</w:t>
            </w:r>
          </w:p>
        </w:tc>
      </w:tr>
      <w:tr w14:paraId="7BF2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243" w:type="dxa"/>
            <w:vMerge w:val="continue"/>
            <w:vAlign w:val="center"/>
          </w:tcPr>
          <w:p w14:paraId="665A1BFC">
            <w:pPr>
              <w:widowControl/>
              <w:snapToGrid/>
              <w:spacing w:line="240" w:lineRule="auto"/>
              <w:ind w:firstLine="480" w:firstLineChars="0"/>
              <w:jc w:val="center"/>
              <w:rPr>
                <w:rFonts w:eastAsia="宋体" w:cs="Times New Roman"/>
                <w:sz w:val="24"/>
                <w:szCs w:val="24"/>
              </w:rPr>
            </w:pPr>
          </w:p>
        </w:tc>
        <w:tc>
          <w:tcPr>
            <w:tcW w:w="4961" w:type="dxa"/>
            <w:vAlign w:val="center"/>
          </w:tcPr>
          <w:p w14:paraId="6B95FDFC">
            <w:pPr>
              <w:widowControl/>
              <w:snapToGrid/>
              <w:spacing w:line="240" w:lineRule="auto"/>
              <w:ind w:firstLine="0" w:firstLineChars="0"/>
              <w:rPr>
                <w:rFonts w:eastAsia="宋体" w:cs="Times New Roman"/>
                <w:sz w:val="24"/>
                <w:szCs w:val="24"/>
              </w:rPr>
            </w:pPr>
            <w:r>
              <w:rPr>
                <w:rFonts w:eastAsia="宋体" w:cs="Times New Roman"/>
                <w:sz w:val="24"/>
                <w:szCs w:val="24"/>
              </w:rPr>
              <w:t>C. 考虑到不同的情景，描述在应对自然相关风险与机遇方面组织战略的复原力。</w:t>
            </w:r>
          </w:p>
        </w:tc>
        <w:tc>
          <w:tcPr>
            <w:tcW w:w="2318" w:type="dxa"/>
            <w:vAlign w:val="center"/>
          </w:tcPr>
          <w:p w14:paraId="78A36F73">
            <w:pPr>
              <w:widowControl/>
              <w:snapToGrid/>
              <w:spacing w:line="240" w:lineRule="auto"/>
              <w:ind w:firstLine="0" w:firstLineChars="0"/>
              <w:jc w:val="center"/>
              <w:rPr>
                <w:rFonts w:eastAsia="宋体" w:cs="Times New Roman"/>
                <w:sz w:val="24"/>
                <w:szCs w:val="24"/>
              </w:rPr>
            </w:pPr>
            <w:r>
              <w:rPr>
                <w:rFonts w:eastAsia="宋体" w:cs="Times New Roman"/>
                <w:sz w:val="24"/>
                <w:szCs w:val="24"/>
              </w:rPr>
              <w:t>分析自然相关风险分析自然相关机遇</w:t>
            </w:r>
          </w:p>
        </w:tc>
      </w:tr>
      <w:tr w14:paraId="5C3E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3" w:type="dxa"/>
            <w:vMerge w:val="continue"/>
            <w:vAlign w:val="center"/>
          </w:tcPr>
          <w:p w14:paraId="40E168AA">
            <w:pPr>
              <w:widowControl/>
              <w:snapToGrid/>
              <w:spacing w:line="240" w:lineRule="auto"/>
              <w:ind w:firstLine="480" w:firstLineChars="0"/>
              <w:jc w:val="center"/>
              <w:rPr>
                <w:rFonts w:eastAsia="宋体" w:cs="Times New Roman"/>
                <w:sz w:val="24"/>
                <w:szCs w:val="24"/>
              </w:rPr>
            </w:pPr>
          </w:p>
        </w:tc>
        <w:tc>
          <w:tcPr>
            <w:tcW w:w="4961" w:type="dxa"/>
            <w:vAlign w:val="center"/>
          </w:tcPr>
          <w:p w14:paraId="049E6EA7">
            <w:pPr>
              <w:widowControl/>
              <w:snapToGrid/>
              <w:spacing w:line="240" w:lineRule="auto"/>
              <w:ind w:firstLine="0" w:firstLineChars="0"/>
              <w:rPr>
                <w:rFonts w:eastAsia="宋体" w:cs="Times New Roman"/>
                <w:sz w:val="24"/>
                <w:szCs w:val="24"/>
              </w:rPr>
            </w:pPr>
            <w:r>
              <w:rPr>
                <w:rFonts w:eastAsia="宋体" w:cs="Times New Roman"/>
                <w:sz w:val="24"/>
                <w:szCs w:val="24"/>
              </w:rPr>
              <w:t>D. 披露组织直接运营中资产和/或活动的地点，并在可能的情况下，披露符合优先地点标准的上下游价值链。</w:t>
            </w:r>
          </w:p>
        </w:tc>
        <w:tc>
          <w:tcPr>
            <w:tcW w:w="2318" w:type="dxa"/>
            <w:vAlign w:val="center"/>
          </w:tcPr>
          <w:p w14:paraId="51337DFA">
            <w:pPr>
              <w:widowControl/>
              <w:snapToGrid/>
              <w:spacing w:line="240" w:lineRule="auto"/>
              <w:ind w:firstLine="0" w:firstLineChars="0"/>
              <w:jc w:val="center"/>
              <w:rPr>
                <w:rFonts w:eastAsia="宋体" w:cs="Times New Roman"/>
                <w:sz w:val="24"/>
                <w:szCs w:val="24"/>
              </w:rPr>
            </w:pPr>
            <w:r>
              <w:rPr>
                <w:rFonts w:hint="eastAsia" w:eastAsia="宋体" w:cs="Times New Roman"/>
                <w:sz w:val="24"/>
                <w:szCs w:val="24"/>
              </w:rPr>
              <w:t>识别与自然的关联</w:t>
            </w:r>
          </w:p>
        </w:tc>
      </w:tr>
      <w:tr w14:paraId="615B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3" w:type="dxa"/>
            <w:vMerge w:val="restart"/>
            <w:vAlign w:val="center"/>
          </w:tcPr>
          <w:p w14:paraId="54B7F172">
            <w:pPr>
              <w:widowControl/>
              <w:snapToGrid/>
              <w:spacing w:line="240" w:lineRule="auto"/>
              <w:ind w:firstLine="0" w:firstLineChars="0"/>
              <w:jc w:val="center"/>
              <w:rPr>
                <w:rFonts w:eastAsia="宋体" w:cs="Times New Roman"/>
                <w:sz w:val="24"/>
                <w:szCs w:val="24"/>
              </w:rPr>
            </w:pPr>
            <w:r>
              <w:rPr>
                <w:rFonts w:eastAsia="宋体" w:cs="Times New Roman"/>
                <w:sz w:val="24"/>
                <w:szCs w:val="24"/>
              </w:rPr>
              <w:t>风险与影响管理</w:t>
            </w:r>
          </w:p>
        </w:tc>
        <w:tc>
          <w:tcPr>
            <w:tcW w:w="4961" w:type="dxa"/>
            <w:vAlign w:val="center"/>
          </w:tcPr>
          <w:p w14:paraId="2CB90F27">
            <w:pPr>
              <w:widowControl/>
              <w:snapToGrid/>
              <w:spacing w:line="240" w:lineRule="auto"/>
              <w:ind w:firstLine="0" w:firstLineChars="0"/>
              <w:rPr>
                <w:rFonts w:eastAsia="宋体" w:cs="Times New Roman"/>
                <w:sz w:val="24"/>
                <w:szCs w:val="24"/>
              </w:rPr>
            </w:pPr>
            <w:r>
              <w:rPr>
                <w:rFonts w:eastAsia="宋体" w:cs="Times New Roman"/>
                <w:sz w:val="24"/>
                <w:szCs w:val="24"/>
              </w:rPr>
              <w:t>A.i. 描述组织在其直接运营中识别、评估和优先考虑与自然相关的依赖关系、影响、风险和机遇的流程。</w:t>
            </w:r>
          </w:p>
        </w:tc>
        <w:tc>
          <w:tcPr>
            <w:tcW w:w="2318" w:type="dxa"/>
            <w:vAlign w:val="center"/>
          </w:tcPr>
          <w:p w14:paraId="16B6C479">
            <w:pPr>
              <w:widowControl/>
              <w:snapToGrid/>
              <w:spacing w:line="240" w:lineRule="auto"/>
              <w:ind w:firstLine="0" w:firstLineChars="0"/>
              <w:jc w:val="center"/>
              <w:rPr>
                <w:rFonts w:eastAsia="宋体" w:cs="Times New Roman"/>
                <w:sz w:val="24"/>
                <w:szCs w:val="24"/>
              </w:rPr>
            </w:pPr>
            <w:r>
              <w:rPr>
                <w:rFonts w:eastAsia="宋体" w:cs="Times New Roman"/>
                <w:sz w:val="24"/>
                <w:szCs w:val="24"/>
              </w:rPr>
              <w:t>评估自然相关依赖与影响</w:t>
            </w:r>
          </w:p>
          <w:p w14:paraId="1C630D10">
            <w:pPr>
              <w:widowControl/>
              <w:snapToGrid/>
              <w:spacing w:line="240" w:lineRule="auto"/>
              <w:ind w:firstLine="0" w:firstLineChars="0"/>
              <w:jc w:val="center"/>
              <w:rPr>
                <w:rFonts w:eastAsia="宋体" w:cs="Times New Roman"/>
                <w:sz w:val="24"/>
                <w:szCs w:val="24"/>
              </w:rPr>
            </w:pPr>
            <w:r>
              <w:rPr>
                <w:rFonts w:eastAsia="宋体" w:cs="Times New Roman"/>
                <w:sz w:val="24"/>
                <w:szCs w:val="24"/>
              </w:rPr>
              <w:t>分析自然相关风险分析自然相关机遇</w:t>
            </w:r>
          </w:p>
          <w:p w14:paraId="5AEE9446">
            <w:pPr>
              <w:widowControl/>
              <w:snapToGrid/>
              <w:spacing w:line="240" w:lineRule="auto"/>
              <w:ind w:firstLine="0" w:firstLineChars="0"/>
              <w:jc w:val="center"/>
              <w:rPr>
                <w:rFonts w:eastAsia="宋体" w:cs="Times New Roman"/>
                <w:sz w:val="24"/>
                <w:szCs w:val="24"/>
              </w:rPr>
            </w:pPr>
            <w:r>
              <w:rPr>
                <w:rFonts w:eastAsia="宋体" w:cs="Times New Roman"/>
                <w:sz w:val="24"/>
                <w:szCs w:val="24"/>
              </w:rPr>
              <w:t>完善自然相关风险与机遇管理策略</w:t>
            </w:r>
          </w:p>
        </w:tc>
      </w:tr>
      <w:tr w14:paraId="1D73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3" w:type="dxa"/>
            <w:vMerge w:val="continue"/>
            <w:vAlign w:val="center"/>
          </w:tcPr>
          <w:p w14:paraId="2FC0CE8E">
            <w:pPr>
              <w:widowControl/>
              <w:snapToGrid/>
              <w:spacing w:line="240" w:lineRule="auto"/>
              <w:ind w:firstLine="0" w:firstLineChars="0"/>
              <w:rPr>
                <w:rFonts w:eastAsia="宋体" w:cs="Times New Roman"/>
                <w:sz w:val="24"/>
                <w:szCs w:val="24"/>
              </w:rPr>
            </w:pPr>
          </w:p>
        </w:tc>
        <w:tc>
          <w:tcPr>
            <w:tcW w:w="4961" w:type="dxa"/>
            <w:vAlign w:val="center"/>
          </w:tcPr>
          <w:p w14:paraId="05863726">
            <w:pPr>
              <w:widowControl/>
              <w:snapToGrid/>
              <w:spacing w:line="240" w:lineRule="auto"/>
              <w:ind w:firstLine="0" w:firstLineChars="0"/>
              <w:rPr>
                <w:rFonts w:eastAsia="宋体" w:cs="Times New Roman"/>
                <w:sz w:val="24"/>
                <w:szCs w:val="24"/>
              </w:rPr>
            </w:pPr>
            <w:r>
              <w:rPr>
                <w:rFonts w:eastAsia="宋体" w:cs="Times New Roman"/>
                <w:sz w:val="24"/>
                <w:szCs w:val="24"/>
              </w:rPr>
              <w:t>A.ii. 描述组织在其上游和下游价值链中识别、评估和优先考虑与自然相关的依赖关系、影响、风险和机遇的流程。</w:t>
            </w:r>
          </w:p>
        </w:tc>
        <w:tc>
          <w:tcPr>
            <w:tcW w:w="2318" w:type="dxa"/>
            <w:vAlign w:val="center"/>
          </w:tcPr>
          <w:p w14:paraId="753BB22F">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评估自然相关依赖和影响</w:t>
            </w:r>
          </w:p>
          <w:p w14:paraId="6BC53732">
            <w:pPr>
              <w:widowControl w:val="0"/>
              <w:snapToGrid/>
              <w:spacing w:line="240" w:lineRule="auto"/>
              <w:ind w:firstLine="0" w:firstLineChars="0"/>
              <w:jc w:val="center"/>
              <w:rPr>
                <w:rFonts w:eastAsia="宋体" w:cs="Times New Roman"/>
                <w:sz w:val="24"/>
                <w:szCs w:val="24"/>
              </w:rPr>
            </w:pPr>
            <w:r>
              <w:rPr>
                <w:rFonts w:eastAsia="宋体" w:cs="Times New Roman"/>
                <w:sz w:val="24"/>
                <w:szCs w:val="24"/>
              </w:rPr>
              <w:t>分析自然相关风险分析自然相关机遇</w:t>
            </w:r>
          </w:p>
          <w:p w14:paraId="63BF66D0">
            <w:pPr>
              <w:widowControl/>
              <w:snapToGrid/>
              <w:spacing w:line="240" w:lineRule="auto"/>
              <w:ind w:firstLine="0" w:firstLineChars="0"/>
              <w:jc w:val="center"/>
              <w:rPr>
                <w:rFonts w:eastAsia="宋体" w:cs="Times New Roman"/>
                <w:sz w:val="24"/>
                <w:szCs w:val="24"/>
              </w:rPr>
            </w:pPr>
            <w:r>
              <w:rPr>
                <w:rFonts w:eastAsia="宋体" w:cs="Times New Roman"/>
                <w:sz w:val="24"/>
                <w:szCs w:val="24"/>
              </w:rPr>
              <w:t>完善自然相关风险与机遇管理策略</w:t>
            </w:r>
          </w:p>
        </w:tc>
      </w:tr>
      <w:tr w14:paraId="7869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3" w:type="dxa"/>
            <w:vMerge w:val="continue"/>
            <w:vAlign w:val="center"/>
          </w:tcPr>
          <w:p w14:paraId="4C0A4F8A">
            <w:pPr>
              <w:widowControl/>
              <w:snapToGrid/>
              <w:spacing w:line="240" w:lineRule="auto"/>
              <w:ind w:firstLine="0" w:firstLineChars="0"/>
              <w:rPr>
                <w:rFonts w:eastAsia="宋体" w:cs="Times New Roman"/>
                <w:sz w:val="24"/>
                <w:szCs w:val="24"/>
              </w:rPr>
            </w:pPr>
          </w:p>
        </w:tc>
        <w:tc>
          <w:tcPr>
            <w:tcW w:w="4961" w:type="dxa"/>
            <w:vAlign w:val="center"/>
          </w:tcPr>
          <w:p w14:paraId="00E9DFB8">
            <w:pPr>
              <w:widowControl/>
              <w:snapToGrid/>
              <w:spacing w:line="240" w:lineRule="auto"/>
              <w:ind w:firstLine="0" w:firstLineChars="0"/>
              <w:rPr>
                <w:rFonts w:eastAsia="宋体" w:cs="Times New Roman"/>
                <w:sz w:val="24"/>
                <w:szCs w:val="24"/>
              </w:rPr>
            </w:pPr>
            <w:r>
              <w:rPr>
                <w:rFonts w:eastAsia="宋体" w:cs="Times New Roman"/>
                <w:sz w:val="24"/>
                <w:szCs w:val="24"/>
              </w:rPr>
              <w:t>B. 描述组织监控与自然相关的依赖关系、影响、风险和机遇的流程。</w:t>
            </w:r>
          </w:p>
        </w:tc>
        <w:tc>
          <w:tcPr>
            <w:tcW w:w="2318" w:type="dxa"/>
            <w:vAlign w:val="center"/>
          </w:tcPr>
          <w:p w14:paraId="4BFD784A">
            <w:pPr>
              <w:widowControl/>
              <w:snapToGrid/>
              <w:spacing w:line="240" w:lineRule="auto"/>
              <w:ind w:firstLine="0" w:firstLineChars="0"/>
              <w:jc w:val="center"/>
              <w:rPr>
                <w:rFonts w:eastAsia="宋体" w:cs="Times New Roman"/>
                <w:sz w:val="24"/>
                <w:szCs w:val="24"/>
              </w:rPr>
            </w:pPr>
            <w:r>
              <w:rPr>
                <w:rFonts w:eastAsia="宋体" w:cs="Times New Roman"/>
                <w:sz w:val="24"/>
                <w:szCs w:val="24"/>
              </w:rPr>
              <w:t>完善自然相关风险与机遇管理策略</w:t>
            </w:r>
          </w:p>
        </w:tc>
      </w:tr>
      <w:tr w14:paraId="3FAA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3" w:type="dxa"/>
            <w:vMerge w:val="continue"/>
            <w:vAlign w:val="center"/>
          </w:tcPr>
          <w:p w14:paraId="202B7C60">
            <w:pPr>
              <w:widowControl/>
              <w:snapToGrid/>
              <w:spacing w:line="240" w:lineRule="auto"/>
              <w:ind w:firstLine="0" w:firstLineChars="0"/>
              <w:rPr>
                <w:rFonts w:eastAsia="宋体" w:cs="Times New Roman"/>
                <w:sz w:val="24"/>
                <w:szCs w:val="24"/>
              </w:rPr>
            </w:pPr>
          </w:p>
        </w:tc>
        <w:tc>
          <w:tcPr>
            <w:tcW w:w="4961" w:type="dxa"/>
            <w:vAlign w:val="center"/>
          </w:tcPr>
          <w:p w14:paraId="131DA350">
            <w:pPr>
              <w:widowControl/>
              <w:snapToGrid/>
              <w:spacing w:line="240" w:lineRule="auto"/>
              <w:ind w:firstLine="0" w:firstLineChars="0"/>
              <w:rPr>
                <w:rFonts w:eastAsia="宋体" w:cs="Times New Roman"/>
                <w:sz w:val="24"/>
                <w:szCs w:val="24"/>
              </w:rPr>
            </w:pPr>
            <w:r>
              <w:rPr>
                <w:rFonts w:eastAsia="宋体" w:cs="Times New Roman"/>
                <w:sz w:val="24"/>
                <w:szCs w:val="24"/>
              </w:rPr>
              <w:t>C. 描述如何将识别、评估、优先排序和监控自然相关风险的流程整合到组织的整体风险管理流程中，并为之提供信息。</w:t>
            </w:r>
          </w:p>
        </w:tc>
        <w:tc>
          <w:tcPr>
            <w:tcW w:w="2318" w:type="dxa"/>
            <w:vAlign w:val="center"/>
          </w:tcPr>
          <w:p w14:paraId="61628BF5">
            <w:pPr>
              <w:widowControl/>
              <w:snapToGrid/>
              <w:spacing w:line="240" w:lineRule="auto"/>
              <w:ind w:firstLine="0" w:firstLineChars="0"/>
              <w:jc w:val="center"/>
              <w:rPr>
                <w:rFonts w:eastAsia="宋体" w:cs="Times New Roman"/>
                <w:sz w:val="24"/>
                <w:szCs w:val="24"/>
              </w:rPr>
            </w:pPr>
            <w:r>
              <w:rPr>
                <w:rFonts w:eastAsia="宋体" w:cs="Times New Roman"/>
                <w:sz w:val="24"/>
                <w:szCs w:val="24"/>
              </w:rPr>
              <w:t>完善自然相关风险与机遇管理策略</w:t>
            </w:r>
          </w:p>
        </w:tc>
      </w:tr>
      <w:tr w14:paraId="1309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3" w:type="dxa"/>
            <w:vMerge w:val="restart"/>
            <w:vAlign w:val="center"/>
          </w:tcPr>
          <w:p w14:paraId="3606D95A">
            <w:pPr>
              <w:widowControl/>
              <w:snapToGrid/>
              <w:spacing w:line="240" w:lineRule="auto"/>
              <w:ind w:firstLine="0" w:firstLineChars="0"/>
              <w:jc w:val="center"/>
              <w:rPr>
                <w:rFonts w:eastAsia="宋体" w:cs="Times New Roman"/>
                <w:sz w:val="24"/>
                <w:szCs w:val="24"/>
              </w:rPr>
            </w:pPr>
            <w:r>
              <w:rPr>
                <w:rFonts w:eastAsia="宋体" w:cs="Times New Roman"/>
                <w:sz w:val="24"/>
                <w:szCs w:val="24"/>
              </w:rPr>
              <w:t>指标与目标</w:t>
            </w:r>
          </w:p>
        </w:tc>
        <w:tc>
          <w:tcPr>
            <w:tcW w:w="4961" w:type="dxa"/>
            <w:vAlign w:val="center"/>
          </w:tcPr>
          <w:p w14:paraId="04A24EDC">
            <w:pPr>
              <w:widowControl/>
              <w:snapToGrid/>
              <w:spacing w:line="240" w:lineRule="auto"/>
              <w:ind w:firstLine="0" w:firstLineChars="0"/>
              <w:rPr>
                <w:rFonts w:eastAsia="宋体" w:cs="Times New Roman"/>
                <w:sz w:val="24"/>
                <w:szCs w:val="24"/>
              </w:rPr>
            </w:pPr>
            <w:r>
              <w:rPr>
                <w:rFonts w:eastAsia="宋体" w:cs="Times New Roman"/>
                <w:sz w:val="24"/>
                <w:szCs w:val="24"/>
              </w:rPr>
              <w:t>A. 根据其战略和风险管理流程，披露组织用于评估和管理与自然相关的重大风险和机遇的指标。</w:t>
            </w:r>
          </w:p>
        </w:tc>
        <w:tc>
          <w:tcPr>
            <w:tcW w:w="2318" w:type="dxa"/>
            <w:vAlign w:val="center"/>
          </w:tcPr>
          <w:p w14:paraId="0866D58D">
            <w:pPr>
              <w:widowControl/>
              <w:snapToGrid/>
              <w:spacing w:line="240" w:lineRule="auto"/>
              <w:ind w:firstLine="0" w:firstLineChars="0"/>
              <w:jc w:val="center"/>
              <w:rPr>
                <w:rFonts w:eastAsia="宋体" w:cs="Times New Roman"/>
                <w:sz w:val="24"/>
                <w:szCs w:val="24"/>
              </w:rPr>
            </w:pPr>
            <w:r>
              <w:rPr>
                <w:rFonts w:eastAsia="宋体" w:cs="Times New Roman"/>
                <w:sz w:val="24"/>
                <w:szCs w:val="24"/>
              </w:rPr>
              <w:t>自然相关依赖与影响、风险与机遇指标</w:t>
            </w:r>
          </w:p>
        </w:tc>
      </w:tr>
      <w:tr w14:paraId="5F26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243" w:type="dxa"/>
            <w:vMerge w:val="continue"/>
            <w:vAlign w:val="center"/>
          </w:tcPr>
          <w:p w14:paraId="63C10E93">
            <w:pPr>
              <w:widowControl/>
              <w:snapToGrid/>
              <w:spacing w:line="240" w:lineRule="auto"/>
              <w:ind w:firstLine="0" w:firstLineChars="0"/>
              <w:rPr>
                <w:rFonts w:eastAsia="宋体" w:cs="Times New Roman"/>
                <w:sz w:val="24"/>
                <w:szCs w:val="24"/>
              </w:rPr>
            </w:pPr>
          </w:p>
        </w:tc>
        <w:tc>
          <w:tcPr>
            <w:tcW w:w="4961" w:type="dxa"/>
            <w:vAlign w:val="center"/>
          </w:tcPr>
          <w:p w14:paraId="40BCD7DF">
            <w:pPr>
              <w:widowControl/>
              <w:snapToGrid/>
              <w:spacing w:line="240" w:lineRule="auto"/>
              <w:ind w:firstLine="0" w:firstLineChars="0"/>
              <w:rPr>
                <w:rFonts w:eastAsia="宋体" w:cs="Times New Roman"/>
                <w:sz w:val="24"/>
                <w:szCs w:val="24"/>
              </w:rPr>
            </w:pPr>
            <w:r>
              <w:rPr>
                <w:rFonts w:eastAsia="宋体" w:cs="Times New Roman"/>
                <w:sz w:val="24"/>
                <w:szCs w:val="24"/>
              </w:rPr>
              <w:t>B. 披露组织用于评估和管理对自然的依赖性和影响的指标。</w:t>
            </w:r>
          </w:p>
        </w:tc>
        <w:tc>
          <w:tcPr>
            <w:tcW w:w="2318" w:type="dxa"/>
            <w:vAlign w:val="center"/>
          </w:tcPr>
          <w:p w14:paraId="7F8D74D4">
            <w:pPr>
              <w:widowControl/>
              <w:snapToGrid/>
              <w:spacing w:line="240" w:lineRule="auto"/>
              <w:ind w:firstLine="0" w:firstLineChars="0"/>
              <w:jc w:val="center"/>
              <w:rPr>
                <w:rFonts w:eastAsia="宋体" w:cs="Times New Roman"/>
                <w:sz w:val="24"/>
                <w:szCs w:val="24"/>
              </w:rPr>
            </w:pPr>
            <w:r>
              <w:rPr>
                <w:rFonts w:eastAsia="宋体" w:cs="Times New Roman"/>
                <w:sz w:val="24"/>
                <w:szCs w:val="24"/>
              </w:rPr>
              <w:t>自然相关依赖与影响、风险与机遇指标</w:t>
            </w:r>
          </w:p>
        </w:tc>
      </w:tr>
      <w:tr w14:paraId="649D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3" w:type="dxa"/>
            <w:vMerge w:val="continue"/>
            <w:vAlign w:val="center"/>
          </w:tcPr>
          <w:p w14:paraId="18B9CC0E">
            <w:pPr>
              <w:widowControl/>
              <w:snapToGrid/>
              <w:spacing w:line="240" w:lineRule="auto"/>
              <w:ind w:firstLine="0" w:firstLineChars="0"/>
              <w:rPr>
                <w:rFonts w:eastAsia="宋体" w:cs="Times New Roman"/>
                <w:sz w:val="24"/>
                <w:szCs w:val="24"/>
              </w:rPr>
            </w:pPr>
          </w:p>
        </w:tc>
        <w:tc>
          <w:tcPr>
            <w:tcW w:w="4961" w:type="dxa"/>
            <w:vAlign w:val="center"/>
          </w:tcPr>
          <w:p w14:paraId="2325A6CF">
            <w:pPr>
              <w:widowControl/>
              <w:snapToGrid/>
              <w:spacing w:line="240" w:lineRule="auto"/>
              <w:ind w:firstLine="0" w:firstLineChars="0"/>
              <w:rPr>
                <w:rFonts w:eastAsia="宋体" w:cs="Times New Roman"/>
                <w:sz w:val="24"/>
                <w:szCs w:val="24"/>
              </w:rPr>
            </w:pPr>
            <w:r>
              <w:rPr>
                <w:rFonts w:eastAsia="宋体" w:cs="Times New Roman"/>
                <w:sz w:val="24"/>
                <w:szCs w:val="24"/>
              </w:rPr>
              <w:t>C. 描述组织用于管理与自然相关的依赖关系、影响、风险和机遇的目标和目的，以及组织在这些方面的绩效。</w:t>
            </w:r>
          </w:p>
        </w:tc>
        <w:tc>
          <w:tcPr>
            <w:tcW w:w="2318" w:type="dxa"/>
            <w:vAlign w:val="center"/>
          </w:tcPr>
          <w:p w14:paraId="49553203">
            <w:pPr>
              <w:widowControl/>
              <w:snapToGrid/>
              <w:spacing w:line="240" w:lineRule="auto"/>
              <w:ind w:firstLine="0" w:firstLineChars="0"/>
              <w:jc w:val="center"/>
              <w:rPr>
                <w:rFonts w:eastAsia="宋体" w:cs="Times New Roman"/>
                <w:sz w:val="24"/>
                <w:szCs w:val="24"/>
              </w:rPr>
            </w:pPr>
            <w:r>
              <w:rPr>
                <w:rFonts w:eastAsia="宋体" w:cs="Times New Roman"/>
                <w:sz w:val="24"/>
                <w:szCs w:val="24"/>
              </w:rPr>
              <w:t>自然相关依赖与影响、风险与机遇目标</w:t>
            </w:r>
          </w:p>
        </w:tc>
      </w:tr>
    </w:tbl>
    <w:p w14:paraId="571D8ED7">
      <w:pPr>
        <w:snapToGrid/>
        <w:spacing w:line="240" w:lineRule="auto"/>
        <w:ind w:firstLine="0" w:firstLineChars="0"/>
        <w:jc w:val="left"/>
        <w:rPr>
          <w:rFonts w:eastAsia="宋体" w:cs="Times New Roman"/>
          <w:sz w:val="24"/>
          <w:szCs w:val="24"/>
        </w:rPr>
      </w:pPr>
    </w:p>
    <w:p w14:paraId="7BA513EE">
      <w:pPr>
        <w:ind w:firstLine="0" w:firstLineChars="0"/>
        <w:rPr>
          <w:rFonts w:eastAsia="宋体" w:cs="Times New Roman"/>
        </w:rPr>
      </w:pPr>
    </w:p>
    <w:p w14:paraId="1300B68F">
      <w:pPr>
        <w:ind w:firstLine="560"/>
        <w:rPr>
          <w:rFonts w:ascii="宋体" w:hAnsi="宋体" w:eastAsia="宋体" w:cs="宋体"/>
        </w:rPr>
      </w:pPr>
    </w:p>
    <w:p w14:paraId="729CADD6">
      <w:pPr>
        <w:ind w:firstLine="560"/>
        <w:rPr>
          <w:rFonts w:ascii="宋体" w:hAnsi="宋体" w:eastAsia="宋体" w:cs="宋体"/>
        </w:rPr>
      </w:pPr>
    </w:p>
    <w:p w14:paraId="2F8CDD17">
      <w:pPr>
        <w:ind w:firstLine="560"/>
        <w:rPr>
          <w:rFonts w:ascii="宋体" w:hAnsi="宋体" w:eastAsia="宋体" w:cs="宋体"/>
        </w:rPr>
      </w:pPr>
    </w:p>
    <w:p w14:paraId="7E484CED">
      <w:pPr>
        <w:ind w:firstLine="560"/>
        <w:rPr>
          <w:rFonts w:ascii="宋体" w:hAnsi="宋体" w:eastAsia="宋体" w:cs="宋体"/>
        </w:rPr>
      </w:pPr>
    </w:p>
    <w:p w14:paraId="1D0EE159">
      <w:pPr>
        <w:ind w:firstLine="560"/>
        <w:rPr>
          <w:rFonts w:ascii="宋体" w:hAnsi="宋体" w:eastAsia="宋体" w:cs="宋体"/>
        </w:rPr>
      </w:pPr>
    </w:p>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8"/>
    <w:bookmarkEnd w:id="180"/>
    <w:p w14:paraId="0488E97A">
      <w:pPr>
        <w:ind w:firstLine="0" w:firstLineChars="0"/>
        <w:rPr>
          <w:rFonts w:ascii="宋体" w:hAnsi="宋体" w:eastAsia="宋体" w:cs="宋体"/>
        </w:rPr>
      </w:pPr>
    </w:p>
    <w:p w14:paraId="76A5738E">
      <w:pPr>
        <w:ind w:firstLine="0" w:firstLineChars="0"/>
        <w:rPr>
          <w:rFonts w:ascii="宋体" w:hAnsi="宋体" w:eastAsia="宋体" w:cs="宋体"/>
        </w:rPr>
      </w:pPr>
    </w:p>
    <w:p w14:paraId="16881DE7">
      <w:pPr>
        <w:ind w:firstLine="0" w:firstLineChars="0"/>
        <w:rPr>
          <w:rFonts w:ascii="宋体" w:hAnsi="宋体" w:eastAsia="宋体" w:cs="宋体"/>
        </w:rPr>
      </w:pPr>
    </w:p>
    <w:sectPr>
      <w:pgSz w:w="11906" w:h="16838"/>
      <w:pgMar w:top="1440" w:right="1800" w:bottom="1440" w:left="1800" w:header="851" w:footer="992" w:gutter="0"/>
      <w:cols w:space="425"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henZhaoyi" w:date="2026-05-25T11:53:00Z" w:initials="">
    <w:p w14:paraId="24BF87E5">
      <w:pPr>
        <w:pStyle w:val="15"/>
        <w:ind w:firstLine="420"/>
      </w:pPr>
      <w:r>
        <w:rPr>
          <w:rFonts w:hint="eastAsia"/>
        </w:rPr>
        <w:t>请确认数据是否披露</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4BF87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B0604020202020204"/>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Arial Unicode MS">
    <w:altName w:val="Arial"/>
    <w:panose1 w:val="020B0604020202020204"/>
    <w:charset w:val="80"/>
    <w:family w:val="swiss"/>
    <w:pitch w:val="default"/>
    <w:sig w:usb0="00000000" w:usb1="00000000" w:usb2="0000003F" w:usb3="00000000" w:csb0="003F01FF" w:csb1="00000000"/>
  </w:font>
  <w:font w:name="楷体">
    <w:panose1 w:val="02010609060101010101"/>
    <w:charset w:val="86"/>
    <w:family w:val="modern"/>
    <w:pitch w:val="default"/>
    <w:sig w:usb0="800002BF" w:usb1="38CF7CFA" w:usb2="00000016" w:usb3="00000000" w:csb0="00040001" w:csb1="00000000"/>
  </w:font>
  <w:font w:name="Wingdings">
    <w:panose1 w:val="05000000000000000000"/>
    <w:charset w:val="00"/>
    <w:family w:val="decorative"/>
    <w:pitch w:val="default"/>
    <w:sig w:usb0="00000000" w:usb1="00000000" w:usb2="00000000" w:usb3="00000000" w:csb0="80000000" w:csb1="00000000"/>
  </w:font>
  <w:font w:name="宋体 (正文)">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4ACB8">
    <w:pPr>
      <w:pStyle w:val="27"/>
      <w:ind w:firstLine="360"/>
      <w:jc w:val="center"/>
    </w:pPr>
    <w:sdt>
      <w:sdtPr>
        <w:id w:val="-1573808552"/>
      </w:sdtPr>
      <w:sdtContent>
        <w:r>
          <w:fldChar w:fldCharType="begin"/>
        </w:r>
        <w:r>
          <w:instrText xml:space="preserve">PAGE   \* MERGEFORMAT</w:instrText>
        </w:r>
        <w:r>
          <w:fldChar w:fldCharType="separate"/>
        </w:r>
        <w:r>
          <w:t>54</w:t>
        </w:r>
        <w:r>
          <w:fldChar w:fldCharType="end"/>
        </w:r>
      </w:sdtContent>
    </w:sdt>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9BD45">
    <w:pPr>
      <w:pStyle w:val="27"/>
      <w:snapToGrid/>
      <w:spacing w:line="240" w:lineRule="auto"/>
      <w:ind w:firstLine="360" w:firstLineChars="0"/>
      <w:jc w:val="center"/>
      <w:rPr>
        <w:rFonts w:ascii="宋体" w:hAnsi="宋体" w:eastAsia="宋体" w:cs="宋体"/>
        <w:szCs w:val="24"/>
      </w:rPr>
    </w:pPr>
    <w:sdt>
      <w:sdtPr>
        <w:rPr>
          <w:rFonts w:ascii="宋体" w:hAnsi="宋体" w:eastAsia="宋体" w:cs="宋体"/>
          <w:szCs w:val="24"/>
        </w:rPr>
        <w:id w:val="147457656"/>
      </w:sdtPr>
      <w:sdtEndPr>
        <w:rPr>
          <w:rFonts w:ascii="宋体" w:hAnsi="宋体" w:eastAsia="宋体" w:cs="宋体"/>
          <w:szCs w:val="24"/>
        </w:rPr>
      </w:sdtEndPr>
      <w:sdtContent>
        <w:r>
          <w:rPr>
            <w:rFonts w:ascii="宋体" w:hAnsi="宋体" w:eastAsia="宋体" w:cs="宋体"/>
            <w:szCs w:val="24"/>
          </w:rPr>
          <w:fldChar w:fldCharType="begin"/>
        </w:r>
        <w:r>
          <w:rPr>
            <w:rFonts w:ascii="宋体" w:hAnsi="宋体" w:eastAsia="宋体" w:cs="宋体"/>
            <w:szCs w:val="24"/>
          </w:rPr>
          <w:instrText xml:space="preserve">PAGE   \* MERGEFORMAT</w:instrText>
        </w:r>
        <w:r>
          <w:rPr>
            <w:rFonts w:ascii="宋体" w:hAnsi="宋体" w:eastAsia="宋体" w:cs="宋体"/>
            <w:szCs w:val="24"/>
          </w:rPr>
          <w:fldChar w:fldCharType="separate"/>
        </w:r>
        <w:r>
          <w:rPr>
            <w:rFonts w:ascii="宋体" w:hAnsi="宋体" w:eastAsia="宋体" w:cs="宋体"/>
            <w:szCs w:val="24"/>
          </w:rPr>
          <w:t>41</w:t>
        </w:r>
        <w:r>
          <w:rPr>
            <w:rFonts w:ascii="宋体" w:hAnsi="宋体" w:eastAsia="宋体" w:cs="宋体"/>
            <w:szCs w:val="24"/>
          </w:rPr>
          <w:fldChar w:fldCharType="end"/>
        </w:r>
      </w:sdtContent>
    </w:sdt>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018FC">
    <w:pPr>
      <w:pStyle w:val="27"/>
      <w:snapToGrid/>
      <w:spacing w:line="240" w:lineRule="auto"/>
      <w:ind w:firstLine="360" w:firstLineChars="0"/>
      <w:jc w:val="center"/>
      <w:rPr>
        <w:rFonts w:ascii="宋体" w:hAnsi="宋体" w:eastAsia="宋体" w:cs="宋体"/>
        <w:szCs w:val="24"/>
      </w:rPr>
    </w:pPr>
    <w:r>
      <w:rPr>
        <w:rFonts w:ascii="宋体" w:hAnsi="宋体" w:eastAsia="宋体" w:cs="宋体"/>
        <w:szCs w:val="24"/>
      </w:rPr>
      <w:fldChar w:fldCharType="begin"/>
    </w:r>
    <w:r>
      <w:rPr>
        <w:rFonts w:ascii="宋体" w:hAnsi="宋体" w:eastAsia="宋体" w:cs="宋体"/>
        <w:szCs w:val="24"/>
      </w:rPr>
      <w:instrText xml:space="preserve">PAGE   \* MERGEFORMAT</w:instrText>
    </w:r>
    <w:r>
      <w:rPr>
        <w:rFonts w:ascii="宋体" w:hAnsi="宋体" w:eastAsia="宋体" w:cs="宋体"/>
        <w:szCs w:val="24"/>
      </w:rPr>
      <w:fldChar w:fldCharType="separate"/>
    </w:r>
    <w:r>
      <w:rPr>
        <w:rFonts w:ascii="宋体" w:hAnsi="宋体" w:eastAsia="宋体" w:cs="宋体"/>
        <w:szCs w:val="24"/>
        <w:lang w:val="zh-CN"/>
      </w:rPr>
      <w:t>32</w:t>
    </w:r>
    <w:r>
      <w:rPr>
        <w:rFonts w:ascii="宋体" w:hAnsi="宋体" w:eastAsia="宋体" w:cs="宋体"/>
        <w:szCs w:val="24"/>
        <w:lang w:val="zh-CN"/>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EEAD8">
    <w:pPr>
      <w:tabs>
        <w:tab w:val="center" w:pos="4153"/>
        <w:tab w:val="right" w:pos="8306"/>
      </w:tabs>
      <w:snapToGrid/>
      <w:spacing w:line="240" w:lineRule="auto"/>
      <w:ind w:firstLine="360" w:firstLineChars="0"/>
      <w:jc w:val="center"/>
      <w:rPr>
        <w:rFonts w:ascii="宋体" w:hAnsi="宋体" w:eastAsia="宋体" w:cs="宋体"/>
        <w:sz w:val="18"/>
        <w:szCs w:val="24"/>
      </w:rPr>
    </w:pPr>
    <w:sdt>
      <w:sdtPr>
        <w:rPr>
          <w:rFonts w:ascii="宋体" w:hAnsi="宋体" w:eastAsia="宋体" w:cs="宋体"/>
          <w:sz w:val="18"/>
          <w:szCs w:val="24"/>
        </w:rPr>
        <w:id w:val="147450991"/>
      </w:sdtPr>
      <w:sdtEndPr>
        <w:rPr>
          <w:rFonts w:ascii="宋体" w:hAnsi="宋体" w:eastAsia="宋体" w:cs="宋体"/>
          <w:sz w:val="18"/>
          <w:szCs w:val="24"/>
        </w:rPr>
      </w:sdtEndPr>
      <w:sdtContent>
        <w:r>
          <w:rPr>
            <w:rFonts w:ascii="宋体" w:hAnsi="宋体" w:eastAsia="宋体" w:cs="宋体"/>
            <w:sz w:val="18"/>
            <w:szCs w:val="24"/>
          </w:rPr>
          <w:fldChar w:fldCharType="begin"/>
        </w:r>
        <w:r>
          <w:rPr>
            <w:rFonts w:ascii="宋体" w:hAnsi="宋体" w:eastAsia="宋体" w:cs="宋体"/>
            <w:sz w:val="18"/>
            <w:szCs w:val="24"/>
          </w:rPr>
          <w:instrText xml:space="preserve">PAGE   \* MERGEFORMAT</w:instrText>
        </w:r>
        <w:r>
          <w:rPr>
            <w:rFonts w:ascii="宋体" w:hAnsi="宋体" w:eastAsia="宋体" w:cs="宋体"/>
            <w:sz w:val="18"/>
            <w:szCs w:val="24"/>
          </w:rPr>
          <w:fldChar w:fldCharType="separate"/>
        </w:r>
        <w:r>
          <w:rPr>
            <w:rFonts w:ascii="宋体" w:hAnsi="宋体" w:eastAsia="宋体" w:cs="宋体"/>
            <w:sz w:val="18"/>
            <w:szCs w:val="24"/>
          </w:rPr>
          <w:t>41</w:t>
        </w:r>
        <w:r>
          <w:rPr>
            <w:rFonts w:ascii="宋体" w:hAnsi="宋体" w:eastAsia="宋体" w:cs="宋体"/>
            <w:sz w:val="18"/>
            <w:szCs w:val="24"/>
          </w:rPr>
          <w:fldChar w:fldCharType="end"/>
        </w: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4E589">
    <w:pPr>
      <w:tabs>
        <w:tab w:val="center" w:pos="4153"/>
        <w:tab w:val="right" w:pos="8306"/>
      </w:tabs>
      <w:snapToGrid/>
      <w:spacing w:line="240" w:lineRule="auto"/>
      <w:ind w:firstLine="360" w:firstLineChars="0"/>
      <w:jc w:val="center"/>
      <w:rPr>
        <w:rFonts w:ascii="宋体" w:hAnsi="宋体" w:eastAsia="宋体" w:cs="宋体"/>
        <w:sz w:val="18"/>
        <w:szCs w:val="24"/>
      </w:rPr>
    </w:pPr>
    <w:r>
      <w:rPr>
        <w:rFonts w:ascii="宋体" w:hAnsi="宋体" w:eastAsia="宋体" w:cs="宋体"/>
        <w:sz w:val="18"/>
        <w:szCs w:val="24"/>
      </w:rPr>
      <w:fldChar w:fldCharType="begin"/>
    </w:r>
    <w:r>
      <w:rPr>
        <w:rFonts w:ascii="宋体" w:hAnsi="宋体" w:eastAsia="宋体" w:cs="宋体"/>
        <w:sz w:val="18"/>
        <w:szCs w:val="24"/>
      </w:rPr>
      <w:instrText xml:space="preserve">PAGE   \* MERGEFORMAT</w:instrText>
    </w:r>
    <w:r>
      <w:rPr>
        <w:rFonts w:ascii="宋体" w:hAnsi="宋体" w:eastAsia="宋体" w:cs="宋体"/>
        <w:sz w:val="18"/>
        <w:szCs w:val="24"/>
      </w:rPr>
      <w:fldChar w:fldCharType="separate"/>
    </w:r>
    <w:r>
      <w:rPr>
        <w:rFonts w:ascii="宋体" w:hAnsi="宋体" w:eastAsia="宋体" w:cs="宋体"/>
        <w:sz w:val="18"/>
        <w:szCs w:val="24"/>
        <w:lang w:val="zh-CN"/>
      </w:rPr>
      <w:t>32</w:t>
    </w:r>
    <w:r>
      <w:rPr>
        <w:rFonts w:ascii="宋体" w:hAnsi="宋体" w:eastAsia="宋体" w:cs="宋体"/>
        <w:sz w:val="18"/>
        <w:szCs w:val="24"/>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F3FEE">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E94C7">
    <w:pPr>
      <w:pStyle w:val="2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3C49C">
    <w:pPr>
      <w:pStyle w:val="2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3FE1">
    <w:pPr>
      <w:pStyle w:val="2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69DCD">
    <w:pPr>
      <w:pStyle w:val="27"/>
      <w:ind w:firstLine="360"/>
      <w:jc w:val="center"/>
    </w:pPr>
    <w:sdt>
      <w:sdtPr>
        <w:id w:val="147478821"/>
      </w:sdtPr>
      <w:sdtContent>
        <w:r>
          <w:fldChar w:fldCharType="begin"/>
        </w:r>
        <w:r>
          <w:instrText xml:space="preserve">PAGE   \* MERGEFORMAT</w:instrText>
        </w:r>
        <w:r>
          <w:fldChar w:fldCharType="separate"/>
        </w:r>
        <w:r>
          <w:t>2</w:t>
        </w:r>
        <w: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91BE5">
    <w:pPr>
      <w:pStyle w:val="27"/>
      <w:ind w:firstLine="360"/>
      <w:jc w:val="center"/>
    </w:pPr>
    <w:r>
      <w:fldChar w:fldCharType="begin"/>
    </w:r>
    <w:r>
      <w:instrText xml:space="preserve">PAGE   \* MERGEFORMAT</w:instrText>
    </w:r>
    <w:r>
      <w:fldChar w:fldCharType="separate"/>
    </w:r>
    <w:r>
      <w:rPr>
        <w:lang w:val="zh-CN"/>
      </w:rPr>
      <w:t>1</w:t>
    </w:r>
    <w:r>
      <w:rPr>
        <w:lang w:val="zh-CN"/>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76B45">
    <w:pPr>
      <w:pStyle w:val="27"/>
      <w:ind w:firstLine="360"/>
      <w:jc w:val="center"/>
    </w:pPr>
    <w:sdt>
      <w:sdtPr>
        <w:id w:val="147475978"/>
      </w:sdtPr>
      <w:sdtContent>
        <w:r>
          <w:fldChar w:fldCharType="begin"/>
        </w:r>
        <w:r>
          <w:instrText xml:space="preserve">PAGE   \* MERGEFORMAT</w:instrText>
        </w:r>
        <w:r>
          <w:fldChar w:fldCharType="separate"/>
        </w:r>
        <w:r>
          <w:t>19</w:t>
        </w:r>
        <w:r>
          <w:fldChar w:fldCharType="end"/>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2AD28">
    <w:pPr>
      <w:pStyle w:val="27"/>
      <w:ind w:firstLine="0" w:firstLineChars="0"/>
      <w:jc w:val="center"/>
    </w:pPr>
    <w:r>
      <w:fldChar w:fldCharType="begin"/>
    </w:r>
    <w:r>
      <w:instrText xml:space="preserve">PAGE   \* MERGEFORMAT</w:instrText>
    </w:r>
    <w:r>
      <w:fldChar w:fldCharType="separate"/>
    </w:r>
    <w:r>
      <w:rPr>
        <w:lang w:val="zh-CN"/>
      </w:rPr>
      <w:t>21</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line="360" w:lineRule="auto"/>
        <w:ind w:firstLine="560"/>
      </w:pPr>
      <w:r>
        <w:separator/>
      </w:r>
    </w:p>
  </w:footnote>
  <w:footnote w:type="continuationSeparator" w:id="7">
    <w:p>
      <w:pPr>
        <w:spacing w:line="360" w:lineRule="auto"/>
        <w:ind w:firstLine="560"/>
      </w:pPr>
      <w:r>
        <w:continuationSeparator/>
      </w:r>
    </w:p>
  </w:footnote>
  <w:footnote w:id="0">
    <w:p w14:paraId="010BE9E5">
      <w:pPr>
        <w:pStyle w:val="22"/>
      </w:pPr>
      <w:r>
        <w:rPr>
          <w:rStyle w:val="48"/>
          <w:sz w:val="28"/>
          <w:szCs w:val="22"/>
        </w:rPr>
        <w:footnoteRef/>
      </w:r>
      <w:r>
        <w:t xml:space="preserve"> </w:t>
      </w:r>
      <w:r>
        <w:rPr>
          <w:rFonts w:hint="eastAsia" w:asciiTheme="minorEastAsia" w:hAnsiTheme="minorEastAsia" w:eastAsiaTheme="minorEastAsia"/>
        </w:rPr>
        <w:t>根据</w:t>
      </w:r>
      <w:r>
        <w:rPr>
          <w:rFonts w:hint="eastAsia"/>
        </w:rPr>
        <w:t>GB/T 4754—2017</w:t>
      </w:r>
      <w:r>
        <w:rPr>
          <w:rFonts w:hint="eastAsia" w:asciiTheme="minorEastAsia" w:hAnsiTheme="minorEastAsia" w:eastAsiaTheme="minorEastAsia"/>
        </w:rPr>
        <w:t>《国民经济行业分类》</w:t>
      </w:r>
      <w:r>
        <w:rPr>
          <w:rFonts w:hint="eastAsia" w:asciiTheme="minorEastAsia" w:hAnsiTheme="minorEastAsia" w:eastAsiaTheme="minorEastAsia"/>
        </w:rPr>
        <w:t>进行分类</w:t>
      </w:r>
      <w:r>
        <w:rPr>
          <w:rFonts w:hint="eastAsia" w:asciiTheme="minorEastAsia" w:hAnsiTheme="minorEastAsia" w:eastAsiaTheme="minorEastAsia"/>
        </w:rPr>
        <w:t>。</w:t>
      </w:r>
    </w:p>
  </w:footnote>
  <w:footnote w:id="1">
    <w:p w14:paraId="6BA6A138">
      <w:pPr>
        <w:pStyle w:val="22"/>
        <w:jc w:val="left"/>
        <w:rPr>
          <w:rFonts w:asciiTheme="minorEastAsia" w:hAnsiTheme="minorEastAsia" w:eastAsiaTheme="minorEastAsia"/>
        </w:rPr>
      </w:pPr>
      <w:r>
        <w:rPr>
          <w:rStyle w:val="48"/>
          <w:sz w:val="28"/>
          <w:szCs w:val="22"/>
        </w:rPr>
        <w:footnoteRef/>
      </w:r>
      <w:r>
        <w:t xml:space="preserve"> </w:t>
      </w:r>
      <w:r>
        <w:rPr>
          <w:rFonts w:hint="eastAsia"/>
        </w:rPr>
        <w:t>ENCORE</w:t>
      </w:r>
      <w:r>
        <w:rPr>
          <w:rFonts w:hint="eastAsia" w:asciiTheme="minorEastAsia" w:hAnsiTheme="minorEastAsia" w:eastAsiaTheme="minorEastAsia"/>
        </w:rPr>
        <w:t xml:space="preserve"> 是由 </w:t>
      </w:r>
      <w:r>
        <w:rPr>
          <w:rFonts w:hint="eastAsia"/>
        </w:rPr>
        <w:t>Global Canopy</w:t>
      </w:r>
      <w:r>
        <w:rPr>
          <w:rFonts w:hint="eastAsia" w:asciiTheme="minorEastAsia" w:hAnsiTheme="minorEastAsia" w:eastAsiaTheme="minorEastAsia"/>
        </w:rPr>
        <w:t>、联合国环境规划署金融倡议（</w:t>
      </w:r>
      <w:r>
        <w:rPr>
          <w:rFonts w:hint="eastAsia"/>
        </w:rPr>
        <w:t>UNEP FI</w:t>
      </w:r>
      <w:r>
        <w:rPr>
          <w:rFonts w:hint="eastAsia" w:asciiTheme="minorEastAsia" w:hAnsiTheme="minorEastAsia" w:eastAsiaTheme="minorEastAsia"/>
        </w:rPr>
        <w:t>）和联合国环境规划署世界保护监测中心（</w:t>
      </w:r>
      <w:r>
        <w:rPr>
          <w:rFonts w:hint="eastAsia"/>
        </w:rPr>
        <w:t>UNEP-WCMC</w:t>
      </w:r>
      <w:r>
        <w:rPr>
          <w:rFonts w:hint="eastAsia" w:asciiTheme="minorEastAsia" w:hAnsiTheme="minorEastAsia" w:eastAsiaTheme="minorEastAsia"/>
        </w:rPr>
        <w:t>）共同开发的工具，旨在帮助金融机构评估其投资组合对自然的依赖与影响。</w:t>
      </w:r>
    </w:p>
  </w:footnote>
  <w:footnote w:id="2">
    <w:p w14:paraId="43F09EFD">
      <w:pPr>
        <w:pStyle w:val="22"/>
        <w:rPr>
          <w:rFonts w:asciiTheme="minorEastAsia" w:hAnsiTheme="minorEastAsia" w:eastAsiaTheme="minorEastAsia"/>
        </w:rPr>
      </w:pPr>
      <w:r>
        <w:rPr>
          <w:rStyle w:val="48"/>
          <w:sz w:val="28"/>
          <w:szCs w:val="22"/>
        </w:rPr>
        <w:footnoteRef/>
      </w:r>
      <w:r>
        <w:t xml:space="preserve"> </w:t>
      </w:r>
      <w:r>
        <w:rPr>
          <w:rFonts w:hint="eastAsia"/>
        </w:rPr>
        <w:t>IUCN</w:t>
      </w:r>
      <w:r>
        <w:rPr>
          <w:rFonts w:hint="eastAsia" w:asciiTheme="minorEastAsia" w:hAnsiTheme="minorEastAsia" w:eastAsiaTheme="minorEastAsia"/>
        </w:rPr>
        <w:t>（世界自然保护联盟）濒危物种红色名录、</w:t>
      </w:r>
      <w:r>
        <w:rPr>
          <w:rFonts w:hint="eastAsia"/>
        </w:rPr>
        <w:t>RCB</w:t>
      </w:r>
      <w:r>
        <w:rPr>
          <w:rFonts w:hint="eastAsia" w:asciiTheme="minorEastAsia" w:hAnsiTheme="minorEastAsia" w:eastAsiaTheme="minorEastAsia"/>
        </w:rPr>
        <w:t>（中国生物多样性红色名录）中物种保护级别。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B377F">
    <w:pPr>
      <w:pStyle w:val="2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8CB3D">
    <w:pPr>
      <w:pStyle w:val="2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E8E85">
    <w:pPr>
      <w:pStyle w:val="2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EDFFAA"/>
    <w:multiLevelType w:val="singleLevel"/>
    <w:tmpl w:val="8DEDFFAA"/>
    <w:lvl w:ilvl="0" w:tentative="0">
      <w:start w:val="1"/>
      <w:numFmt w:val="decimal"/>
      <w:lvlText w:val="%1."/>
      <w:lvlJc w:val="left"/>
      <w:pPr>
        <w:tabs>
          <w:tab w:val="left" w:pos="312"/>
        </w:tabs>
      </w:pPr>
    </w:lvl>
  </w:abstractNum>
  <w:abstractNum w:abstractNumId="1">
    <w:nsid w:val="FC17FEEE"/>
    <w:multiLevelType w:val="singleLevel"/>
    <w:tmpl w:val="FC17FEEE"/>
    <w:lvl w:ilvl="0" w:tentative="0">
      <w:start w:val="1"/>
      <w:numFmt w:val="bullet"/>
      <w:lvlText w:val="∙"/>
      <w:lvlJc w:val="left"/>
      <w:pPr>
        <w:ind w:left="420" w:hanging="420"/>
      </w:pPr>
      <w:rPr>
        <w:rFonts w:hint="default" w:ascii="Arial" w:hAnsi="Arial" w:cs="Arial"/>
      </w:rPr>
    </w:lvl>
  </w:abstractNum>
  <w:abstractNum w:abstractNumId="2">
    <w:nsid w:val="2BE10395"/>
    <w:multiLevelType w:val="multilevel"/>
    <w:tmpl w:val="2BE10395"/>
    <w:lvl w:ilvl="0" w:tentative="0">
      <w:start w:val="1"/>
      <w:numFmt w:val="decimal"/>
      <w:pStyle w:val="2"/>
      <w:lvlText w:val="%1"/>
      <w:lvlJc w:val="left"/>
      <w:pPr>
        <w:ind w:left="0" w:firstLine="0"/>
      </w:pPr>
      <w:rPr>
        <w:rFonts w:hint="default" w:asciiTheme="majorHAnsi" w:hAnsiTheme="majorHAnsi" w:cstheme="majorHAnsi"/>
      </w:rPr>
    </w:lvl>
    <w:lvl w:ilvl="1" w:tentative="0">
      <w:start w:val="1"/>
      <w:numFmt w:val="decimal"/>
      <w:pStyle w:val="3"/>
      <w:lvlText w:val="%1.%2"/>
      <w:lvlJc w:val="left"/>
      <w:pPr>
        <w:ind w:left="0" w:firstLine="0"/>
      </w:pPr>
      <w:rPr>
        <w:rFonts w:hint="default" w:ascii="Times New Roman" w:hAnsi="Times New Roman" w:cs="Times New Roman"/>
      </w:rPr>
    </w:lvl>
    <w:lvl w:ilvl="2" w:tentative="0">
      <w:start w:val="1"/>
      <w:numFmt w:val="decimal"/>
      <w:pStyle w:val="4"/>
      <w:lvlText w:val="%1.%2.%3"/>
      <w:lvlJc w:val="left"/>
      <w:pPr>
        <w:ind w:left="0" w:firstLine="0"/>
      </w:pPr>
      <w:rPr>
        <w:rFonts w:hint="default" w:ascii="Times New Roman" w:hAnsi="Times New Roman" w:cs="Times New Roman"/>
      </w:rPr>
    </w:lvl>
    <w:lvl w:ilvl="3" w:tentative="0">
      <w:start w:val="1"/>
      <w:numFmt w:val="decimal"/>
      <w:pStyle w:val="5"/>
      <w:lvlText w:val="%1.%2.%3.%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320C3DCF"/>
    <w:multiLevelType w:val="multilevel"/>
    <w:tmpl w:val="320C3DCF"/>
    <w:lvl w:ilvl="0" w:tentative="0">
      <w:start w:val="1"/>
      <w:numFmt w:val="chineseCountingThousand"/>
      <w:pStyle w:val="62"/>
      <w:lvlText w:val="%1、"/>
      <w:lvlJc w:val="left"/>
      <w:pPr>
        <w:ind w:left="570" w:hanging="420"/>
      </w:pPr>
      <w:rPr>
        <w:rFonts w:hint="eastAsia"/>
        <w:kern w:val="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3403271"/>
    <w:multiLevelType w:val="singleLevel"/>
    <w:tmpl w:val="33403271"/>
    <w:lvl w:ilvl="0" w:tentative="0">
      <w:start w:val="1"/>
      <w:numFmt w:val="bullet"/>
      <w:lvlText w:val=""/>
      <w:lvlJc w:val="left"/>
      <w:pPr>
        <w:ind w:left="420" w:hanging="420"/>
      </w:pPr>
      <w:rPr>
        <w:rFonts w:hint="default" w:ascii="Wingdings" w:hAnsi="Wingdings"/>
      </w:rPr>
    </w:lvl>
  </w:abstractNum>
  <w:abstractNum w:abstractNumId="5">
    <w:nsid w:val="3B9AC93C"/>
    <w:multiLevelType w:val="singleLevel"/>
    <w:tmpl w:val="3B9AC93C"/>
    <w:lvl w:ilvl="0" w:tentative="0">
      <w:start w:val="1"/>
      <w:numFmt w:val="decimal"/>
      <w:lvlText w:val="%1."/>
      <w:lvlJc w:val="left"/>
      <w:pPr>
        <w:tabs>
          <w:tab w:val="left" w:pos="312"/>
        </w:tabs>
      </w:pPr>
    </w:lvl>
  </w:abstractNum>
  <w:abstractNum w:abstractNumId="6">
    <w:nsid w:val="3CB166CD"/>
    <w:multiLevelType w:val="singleLevel"/>
    <w:tmpl w:val="3CB166CD"/>
    <w:lvl w:ilvl="0" w:tentative="0">
      <w:start w:val="1"/>
      <w:numFmt w:val="bullet"/>
      <w:lvlText w:val=""/>
      <w:lvlJc w:val="left"/>
      <w:pPr>
        <w:ind w:left="420" w:hanging="420"/>
      </w:pPr>
      <w:rPr>
        <w:rFonts w:hint="default" w:ascii="Wingdings" w:hAnsi="Wingdings"/>
      </w:rPr>
    </w:lvl>
  </w:abstractNum>
  <w:abstractNum w:abstractNumId="7">
    <w:nsid w:val="61D62980"/>
    <w:multiLevelType w:val="multilevel"/>
    <w:tmpl w:val="61D6298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2"/>
  </w:num>
  <w:num w:numId="2">
    <w:abstractNumId w:val="3"/>
  </w:num>
  <w:num w:numId="3">
    <w:abstractNumId w:val="7"/>
  </w:num>
  <w:num w:numId="4">
    <w:abstractNumId w:val="6"/>
  </w:num>
  <w:num w:numId="5">
    <w:abstractNumId w:val="4"/>
  </w:num>
  <w:num w:numId="6">
    <w:abstractNumId w:val="1"/>
  </w:num>
  <w:num w:numId="7">
    <w:abstractNumId w:val="5"/>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henZhaoyi">
    <w15:presenceInfo w15:providerId="None" w15:userId="ShenZhaoy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trackRevisions w:val="1"/>
  <w:documentProtection w:enforcement="0"/>
  <w:defaultTabStop w:val="420"/>
  <w:drawingGridHorizontalSpacing w:val="140"/>
  <w:drawingGridVerticalSpacing w:val="381"/>
  <w:noPunctuationKerning w:val="1"/>
  <w:characterSpacingControl w:val="compressPunctuation"/>
  <w:footnotePr>
    <w:footnote w:id="6"/>
    <w:footnote w:id="7"/>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TQyM2E5NWZkM2M2YTMxZjJlZjkzNmRhM2I0YTAifQ=="/>
  </w:docVars>
  <w:rsids>
    <w:rsidRoot w:val="00172A27"/>
    <w:rsid w:val="0000035D"/>
    <w:rsid w:val="000009F1"/>
    <w:rsid w:val="000033BE"/>
    <w:rsid w:val="00004BEA"/>
    <w:rsid w:val="00005568"/>
    <w:rsid w:val="0000624A"/>
    <w:rsid w:val="00006DFA"/>
    <w:rsid w:val="00007186"/>
    <w:rsid w:val="00010565"/>
    <w:rsid w:val="00010CEF"/>
    <w:rsid w:val="00012F7E"/>
    <w:rsid w:val="00013235"/>
    <w:rsid w:val="00014B03"/>
    <w:rsid w:val="00016477"/>
    <w:rsid w:val="00017CAC"/>
    <w:rsid w:val="000213C2"/>
    <w:rsid w:val="00021A66"/>
    <w:rsid w:val="00021FB4"/>
    <w:rsid w:val="00022373"/>
    <w:rsid w:val="0002472B"/>
    <w:rsid w:val="00026081"/>
    <w:rsid w:val="000270D6"/>
    <w:rsid w:val="00031058"/>
    <w:rsid w:val="00031328"/>
    <w:rsid w:val="000331AB"/>
    <w:rsid w:val="0003337D"/>
    <w:rsid w:val="00033B0A"/>
    <w:rsid w:val="000350BC"/>
    <w:rsid w:val="000358E2"/>
    <w:rsid w:val="000369B1"/>
    <w:rsid w:val="000405D1"/>
    <w:rsid w:val="000413FF"/>
    <w:rsid w:val="00041491"/>
    <w:rsid w:val="00041E86"/>
    <w:rsid w:val="00043159"/>
    <w:rsid w:val="00043298"/>
    <w:rsid w:val="00043F40"/>
    <w:rsid w:val="00044756"/>
    <w:rsid w:val="00044780"/>
    <w:rsid w:val="000447EB"/>
    <w:rsid w:val="0004497B"/>
    <w:rsid w:val="0004550E"/>
    <w:rsid w:val="0004553D"/>
    <w:rsid w:val="00047170"/>
    <w:rsid w:val="00050592"/>
    <w:rsid w:val="00050A67"/>
    <w:rsid w:val="000514C3"/>
    <w:rsid w:val="00051E4E"/>
    <w:rsid w:val="000536A7"/>
    <w:rsid w:val="000551F1"/>
    <w:rsid w:val="00055264"/>
    <w:rsid w:val="00055A47"/>
    <w:rsid w:val="000578E5"/>
    <w:rsid w:val="00060857"/>
    <w:rsid w:val="00060EB6"/>
    <w:rsid w:val="00061F93"/>
    <w:rsid w:val="0006338C"/>
    <w:rsid w:val="000636D5"/>
    <w:rsid w:val="00063D3B"/>
    <w:rsid w:val="00065CA6"/>
    <w:rsid w:val="00066CAC"/>
    <w:rsid w:val="00067414"/>
    <w:rsid w:val="000702B1"/>
    <w:rsid w:val="00070CD3"/>
    <w:rsid w:val="00070FAC"/>
    <w:rsid w:val="00072817"/>
    <w:rsid w:val="000729C2"/>
    <w:rsid w:val="00073A5C"/>
    <w:rsid w:val="0007425B"/>
    <w:rsid w:val="00076017"/>
    <w:rsid w:val="00077E9A"/>
    <w:rsid w:val="00077F8A"/>
    <w:rsid w:val="00081061"/>
    <w:rsid w:val="00085D5D"/>
    <w:rsid w:val="00091190"/>
    <w:rsid w:val="00091CCD"/>
    <w:rsid w:val="000925D2"/>
    <w:rsid w:val="00093A52"/>
    <w:rsid w:val="000949A4"/>
    <w:rsid w:val="00095944"/>
    <w:rsid w:val="00096E7F"/>
    <w:rsid w:val="00096E8B"/>
    <w:rsid w:val="000974DD"/>
    <w:rsid w:val="000A09D2"/>
    <w:rsid w:val="000A0F72"/>
    <w:rsid w:val="000A1D25"/>
    <w:rsid w:val="000A2040"/>
    <w:rsid w:val="000A27FB"/>
    <w:rsid w:val="000A4A25"/>
    <w:rsid w:val="000A5A26"/>
    <w:rsid w:val="000A5F99"/>
    <w:rsid w:val="000A7365"/>
    <w:rsid w:val="000A74B5"/>
    <w:rsid w:val="000A75AF"/>
    <w:rsid w:val="000A7F3D"/>
    <w:rsid w:val="000B0147"/>
    <w:rsid w:val="000B0336"/>
    <w:rsid w:val="000B06A0"/>
    <w:rsid w:val="000B2B97"/>
    <w:rsid w:val="000B2F25"/>
    <w:rsid w:val="000B528A"/>
    <w:rsid w:val="000B560D"/>
    <w:rsid w:val="000B6592"/>
    <w:rsid w:val="000B6898"/>
    <w:rsid w:val="000B7A69"/>
    <w:rsid w:val="000B7FBC"/>
    <w:rsid w:val="000C0A26"/>
    <w:rsid w:val="000C0D34"/>
    <w:rsid w:val="000C169F"/>
    <w:rsid w:val="000C1D2D"/>
    <w:rsid w:val="000C225E"/>
    <w:rsid w:val="000C2426"/>
    <w:rsid w:val="000C3C6A"/>
    <w:rsid w:val="000C4308"/>
    <w:rsid w:val="000C4C44"/>
    <w:rsid w:val="000C59EC"/>
    <w:rsid w:val="000C5E88"/>
    <w:rsid w:val="000C643A"/>
    <w:rsid w:val="000C6660"/>
    <w:rsid w:val="000C6928"/>
    <w:rsid w:val="000C7A9D"/>
    <w:rsid w:val="000D0E2B"/>
    <w:rsid w:val="000D15B0"/>
    <w:rsid w:val="000D1CF6"/>
    <w:rsid w:val="000D21CA"/>
    <w:rsid w:val="000D3179"/>
    <w:rsid w:val="000D3317"/>
    <w:rsid w:val="000D3781"/>
    <w:rsid w:val="000D536E"/>
    <w:rsid w:val="000D540D"/>
    <w:rsid w:val="000D5E89"/>
    <w:rsid w:val="000D6030"/>
    <w:rsid w:val="000D6346"/>
    <w:rsid w:val="000D6961"/>
    <w:rsid w:val="000D7053"/>
    <w:rsid w:val="000E08A7"/>
    <w:rsid w:val="000E268C"/>
    <w:rsid w:val="000E414A"/>
    <w:rsid w:val="000E627D"/>
    <w:rsid w:val="000F0687"/>
    <w:rsid w:val="000F1715"/>
    <w:rsid w:val="000F28E5"/>
    <w:rsid w:val="000F451F"/>
    <w:rsid w:val="000F51C0"/>
    <w:rsid w:val="000F6B6E"/>
    <w:rsid w:val="000F6ED8"/>
    <w:rsid w:val="00100848"/>
    <w:rsid w:val="0010258C"/>
    <w:rsid w:val="001049F6"/>
    <w:rsid w:val="00105E71"/>
    <w:rsid w:val="00106003"/>
    <w:rsid w:val="0010658C"/>
    <w:rsid w:val="0011137E"/>
    <w:rsid w:val="00111A67"/>
    <w:rsid w:val="00114DF2"/>
    <w:rsid w:val="00115251"/>
    <w:rsid w:val="001159D7"/>
    <w:rsid w:val="001179FD"/>
    <w:rsid w:val="00117B84"/>
    <w:rsid w:val="00120B2B"/>
    <w:rsid w:val="001221E7"/>
    <w:rsid w:val="001235E0"/>
    <w:rsid w:val="001239F0"/>
    <w:rsid w:val="00123FDE"/>
    <w:rsid w:val="00126342"/>
    <w:rsid w:val="00127620"/>
    <w:rsid w:val="001303A9"/>
    <w:rsid w:val="00132200"/>
    <w:rsid w:val="00134849"/>
    <w:rsid w:val="00134889"/>
    <w:rsid w:val="00134B0D"/>
    <w:rsid w:val="00135232"/>
    <w:rsid w:val="00135C06"/>
    <w:rsid w:val="00135F55"/>
    <w:rsid w:val="00136C25"/>
    <w:rsid w:val="00136C64"/>
    <w:rsid w:val="00140B4C"/>
    <w:rsid w:val="00140B59"/>
    <w:rsid w:val="0014191C"/>
    <w:rsid w:val="0014222F"/>
    <w:rsid w:val="001440BC"/>
    <w:rsid w:val="00144E57"/>
    <w:rsid w:val="00145028"/>
    <w:rsid w:val="0014553C"/>
    <w:rsid w:val="0014765B"/>
    <w:rsid w:val="00147CEA"/>
    <w:rsid w:val="001509BE"/>
    <w:rsid w:val="0015265A"/>
    <w:rsid w:val="0015291C"/>
    <w:rsid w:val="00154A5A"/>
    <w:rsid w:val="0015517E"/>
    <w:rsid w:val="001556F9"/>
    <w:rsid w:val="00155784"/>
    <w:rsid w:val="001564A3"/>
    <w:rsid w:val="00156E10"/>
    <w:rsid w:val="0015707C"/>
    <w:rsid w:val="001572F9"/>
    <w:rsid w:val="00160E9C"/>
    <w:rsid w:val="001636A5"/>
    <w:rsid w:val="001649E0"/>
    <w:rsid w:val="0016504F"/>
    <w:rsid w:val="001651B6"/>
    <w:rsid w:val="00166773"/>
    <w:rsid w:val="00171BAA"/>
    <w:rsid w:val="00172A27"/>
    <w:rsid w:val="00172C5A"/>
    <w:rsid w:val="00173851"/>
    <w:rsid w:val="001749D8"/>
    <w:rsid w:val="001766C0"/>
    <w:rsid w:val="00176A7D"/>
    <w:rsid w:val="00180871"/>
    <w:rsid w:val="00181BB9"/>
    <w:rsid w:val="00181C2E"/>
    <w:rsid w:val="00182DA8"/>
    <w:rsid w:val="00190244"/>
    <w:rsid w:val="001928A3"/>
    <w:rsid w:val="00194A4F"/>
    <w:rsid w:val="00195025"/>
    <w:rsid w:val="0019611A"/>
    <w:rsid w:val="0019633E"/>
    <w:rsid w:val="001969DC"/>
    <w:rsid w:val="00197C63"/>
    <w:rsid w:val="001A1B45"/>
    <w:rsid w:val="001A2968"/>
    <w:rsid w:val="001A325D"/>
    <w:rsid w:val="001A3613"/>
    <w:rsid w:val="001A4670"/>
    <w:rsid w:val="001A485C"/>
    <w:rsid w:val="001A50C6"/>
    <w:rsid w:val="001A5287"/>
    <w:rsid w:val="001A5485"/>
    <w:rsid w:val="001A6BFC"/>
    <w:rsid w:val="001A7081"/>
    <w:rsid w:val="001B014A"/>
    <w:rsid w:val="001B17F1"/>
    <w:rsid w:val="001B1E98"/>
    <w:rsid w:val="001B1F4F"/>
    <w:rsid w:val="001B223C"/>
    <w:rsid w:val="001B270E"/>
    <w:rsid w:val="001B3368"/>
    <w:rsid w:val="001B3960"/>
    <w:rsid w:val="001B4B0C"/>
    <w:rsid w:val="001B52E5"/>
    <w:rsid w:val="001B6BE0"/>
    <w:rsid w:val="001B744B"/>
    <w:rsid w:val="001C0188"/>
    <w:rsid w:val="001C0883"/>
    <w:rsid w:val="001C0B14"/>
    <w:rsid w:val="001C1004"/>
    <w:rsid w:val="001C1A1D"/>
    <w:rsid w:val="001C4CA9"/>
    <w:rsid w:val="001C7C83"/>
    <w:rsid w:val="001D0168"/>
    <w:rsid w:val="001D0CC8"/>
    <w:rsid w:val="001D0EA5"/>
    <w:rsid w:val="001D24E5"/>
    <w:rsid w:val="001D27C1"/>
    <w:rsid w:val="001D2AA3"/>
    <w:rsid w:val="001D2B07"/>
    <w:rsid w:val="001D34A2"/>
    <w:rsid w:val="001D39B2"/>
    <w:rsid w:val="001D4F62"/>
    <w:rsid w:val="001D562B"/>
    <w:rsid w:val="001D59ED"/>
    <w:rsid w:val="001D5B2B"/>
    <w:rsid w:val="001E08BC"/>
    <w:rsid w:val="001E1AFD"/>
    <w:rsid w:val="001E1B8B"/>
    <w:rsid w:val="001E1D94"/>
    <w:rsid w:val="001E1E3D"/>
    <w:rsid w:val="001E2088"/>
    <w:rsid w:val="001E247E"/>
    <w:rsid w:val="001E25C6"/>
    <w:rsid w:val="001E45E5"/>
    <w:rsid w:val="001E4CCF"/>
    <w:rsid w:val="001E5B18"/>
    <w:rsid w:val="001E5F17"/>
    <w:rsid w:val="001E6BD8"/>
    <w:rsid w:val="001E786B"/>
    <w:rsid w:val="001F0A38"/>
    <w:rsid w:val="001F0DAD"/>
    <w:rsid w:val="001F16B3"/>
    <w:rsid w:val="001F18FC"/>
    <w:rsid w:val="001F284C"/>
    <w:rsid w:val="001F4FF7"/>
    <w:rsid w:val="001F6894"/>
    <w:rsid w:val="001F6F01"/>
    <w:rsid w:val="001F7F7E"/>
    <w:rsid w:val="002013A2"/>
    <w:rsid w:val="002046BC"/>
    <w:rsid w:val="002047AC"/>
    <w:rsid w:val="0021074F"/>
    <w:rsid w:val="00210C0D"/>
    <w:rsid w:val="002124F0"/>
    <w:rsid w:val="00212A4B"/>
    <w:rsid w:val="00213196"/>
    <w:rsid w:val="002132C7"/>
    <w:rsid w:val="002147D7"/>
    <w:rsid w:val="0021530F"/>
    <w:rsid w:val="0021617A"/>
    <w:rsid w:val="002170A7"/>
    <w:rsid w:val="00217164"/>
    <w:rsid w:val="002178DA"/>
    <w:rsid w:val="00222FE8"/>
    <w:rsid w:val="00226C60"/>
    <w:rsid w:val="00227A62"/>
    <w:rsid w:val="00227CC2"/>
    <w:rsid w:val="002303DD"/>
    <w:rsid w:val="002312EF"/>
    <w:rsid w:val="002319A5"/>
    <w:rsid w:val="00232770"/>
    <w:rsid w:val="002332A9"/>
    <w:rsid w:val="00233C06"/>
    <w:rsid w:val="002342BA"/>
    <w:rsid w:val="0023473B"/>
    <w:rsid w:val="002350D3"/>
    <w:rsid w:val="0023527B"/>
    <w:rsid w:val="00235D08"/>
    <w:rsid w:val="0023695B"/>
    <w:rsid w:val="00237119"/>
    <w:rsid w:val="00240E67"/>
    <w:rsid w:val="00241405"/>
    <w:rsid w:val="00241712"/>
    <w:rsid w:val="00241C19"/>
    <w:rsid w:val="002422D5"/>
    <w:rsid w:val="00244539"/>
    <w:rsid w:val="002453A6"/>
    <w:rsid w:val="00246082"/>
    <w:rsid w:val="00247708"/>
    <w:rsid w:val="002477E4"/>
    <w:rsid w:val="00247CCC"/>
    <w:rsid w:val="00250AE5"/>
    <w:rsid w:val="00250FE7"/>
    <w:rsid w:val="00251BDB"/>
    <w:rsid w:val="00256C08"/>
    <w:rsid w:val="00257275"/>
    <w:rsid w:val="00257CF9"/>
    <w:rsid w:val="00257E71"/>
    <w:rsid w:val="00261D75"/>
    <w:rsid w:val="00261FAC"/>
    <w:rsid w:val="00263A6C"/>
    <w:rsid w:val="00263C21"/>
    <w:rsid w:val="00263E6D"/>
    <w:rsid w:val="0026452F"/>
    <w:rsid w:val="00264D2D"/>
    <w:rsid w:val="00264D39"/>
    <w:rsid w:val="00265FC2"/>
    <w:rsid w:val="00265FD7"/>
    <w:rsid w:val="002718B2"/>
    <w:rsid w:val="00271C73"/>
    <w:rsid w:val="00273F39"/>
    <w:rsid w:val="00273F66"/>
    <w:rsid w:val="00274078"/>
    <w:rsid w:val="002753A0"/>
    <w:rsid w:val="00275430"/>
    <w:rsid w:val="00275A66"/>
    <w:rsid w:val="00276A14"/>
    <w:rsid w:val="0027707A"/>
    <w:rsid w:val="002777A0"/>
    <w:rsid w:val="002819C1"/>
    <w:rsid w:val="00281AAE"/>
    <w:rsid w:val="00283331"/>
    <w:rsid w:val="00284BEB"/>
    <w:rsid w:val="00284BFB"/>
    <w:rsid w:val="00284D1A"/>
    <w:rsid w:val="00285247"/>
    <w:rsid w:val="002856E5"/>
    <w:rsid w:val="0028695F"/>
    <w:rsid w:val="00287A37"/>
    <w:rsid w:val="002910F3"/>
    <w:rsid w:val="002929B3"/>
    <w:rsid w:val="00293BE8"/>
    <w:rsid w:val="00293D53"/>
    <w:rsid w:val="002945E9"/>
    <w:rsid w:val="00295396"/>
    <w:rsid w:val="0029659E"/>
    <w:rsid w:val="0029717A"/>
    <w:rsid w:val="00297537"/>
    <w:rsid w:val="002A020E"/>
    <w:rsid w:val="002A0A76"/>
    <w:rsid w:val="002A28D1"/>
    <w:rsid w:val="002A298E"/>
    <w:rsid w:val="002A2EF0"/>
    <w:rsid w:val="002A32E2"/>
    <w:rsid w:val="002A6179"/>
    <w:rsid w:val="002A6B80"/>
    <w:rsid w:val="002A7097"/>
    <w:rsid w:val="002A7161"/>
    <w:rsid w:val="002A77F3"/>
    <w:rsid w:val="002A7EEA"/>
    <w:rsid w:val="002A7FDE"/>
    <w:rsid w:val="002B0744"/>
    <w:rsid w:val="002B08A3"/>
    <w:rsid w:val="002B11B7"/>
    <w:rsid w:val="002B1CD7"/>
    <w:rsid w:val="002B2607"/>
    <w:rsid w:val="002B294C"/>
    <w:rsid w:val="002B2A75"/>
    <w:rsid w:val="002B3B96"/>
    <w:rsid w:val="002B4BC1"/>
    <w:rsid w:val="002B4C57"/>
    <w:rsid w:val="002B6222"/>
    <w:rsid w:val="002B716C"/>
    <w:rsid w:val="002C078F"/>
    <w:rsid w:val="002C3296"/>
    <w:rsid w:val="002C39AC"/>
    <w:rsid w:val="002C4AF5"/>
    <w:rsid w:val="002C6CBE"/>
    <w:rsid w:val="002D0745"/>
    <w:rsid w:val="002D0C49"/>
    <w:rsid w:val="002D44C4"/>
    <w:rsid w:val="002D548D"/>
    <w:rsid w:val="002D6BD0"/>
    <w:rsid w:val="002D75F3"/>
    <w:rsid w:val="002D7A8A"/>
    <w:rsid w:val="002E2D95"/>
    <w:rsid w:val="002E344D"/>
    <w:rsid w:val="002E43A7"/>
    <w:rsid w:val="002E4749"/>
    <w:rsid w:val="002E64B7"/>
    <w:rsid w:val="002E6AF3"/>
    <w:rsid w:val="002E6E59"/>
    <w:rsid w:val="002E7644"/>
    <w:rsid w:val="002F06E2"/>
    <w:rsid w:val="002F090B"/>
    <w:rsid w:val="002F12E4"/>
    <w:rsid w:val="002F1726"/>
    <w:rsid w:val="002F29A7"/>
    <w:rsid w:val="002F3049"/>
    <w:rsid w:val="002F37C3"/>
    <w:rsid w:val="002F5786"/>
    <w:rsid w:val="002F667F"/>
    <w:rsid w:val="002F6FC0"/>
    <w:rsid w:val="002F7815"/>
    <w:rsid w:val="00300801"/>
    <w:rsid w:val="00301BFD"/>
    <w:rsid w:val="00302273"/>
    <w:rsid w:val="0030243C"/>
    <w:rsid w:val="00302B4C"/>
    <w:rsid w:val="00302C48"/>
    <w:rsid w:val="00305527"/>
    <w:rsid w:val="00305647"/>
    <w:rsid w:val="00306550"/>
    <w:rsid w:val="003077C9"/>
    <w:rsid w:val="003079DA"/>
    <w:rsid w:val="00312895"/>
    <w:rsid w:val="0031303E"/>
    <w:rsid w:val="00313C26"/>
    <w:rsid w:val="00314644"/>
    <w:rsid w:val="00314B49"/>
    <w:rsid w:val="003164FF"/>
    <w:rsid w:val="0031664A"/>
    <w:rsid w:val="00317038"/>
    <w:rsid w:val="003174C3"/>
    <w:rsid w:val="0031760B"/>
    <w:rsid w:val="00320580"/>
    <w:rsid w:val="003206B3"/>
    <w:rsid w:val="00320F5F"/>
    <w:rsid w:val="00320F75"/>
    <w:rsid w:val="0032138B"/>
    <w:rsid w:val="00321D19"/>
    <w:rsid w:val="00322918"/>
    <w:rsid w:val="00322F2D"/>
    <w:rsid w:val="0032363F"/>
    <w:rsid w:val="00323800"/>
    <w:rsid w:val="003239CC"/>
    <w:rsid w:val="00323E8C"/>
    <w:rsid w:val="00324E2C"/>
    <w:rsid w:val="00325307"/>
    <w:rsid w:val="00326C24"/>
    <w:rsid w:val="00327381"/>
    <w:rsid w:val="00327746"/>
    <w:rsid w:val="00327884"/>
    <w:rsid w:val="00330A9A"/>
    <w:rsid w:val="00331CA8"/>
    <w:rsid w:val="00331EBE"/>
    <w:rsid w:val="003329BC"/>
    <w:rsid w:val="00332D31"/>
    <w:rsid w:val="003341C9"/>
    <w:rsid w:val="0033420D"/>
    <w:rsid w:val="00334674"/>
    <w:rsid w:val="00334F84"/>
    <w:rsid w:val="00335F52"/>
    <w:rsid w:val="00336588"/>
    <w:rsid w:val="00337F7B"/>
    <w:rsid w:val="00340E8E"/>
    <w:rsid w:val="00340F4D"/>
    <w:rsid w:val="00341C1B"/>
    <w:rsid w:val="00341E8D"/>
    <w:rsid w:val="003458D4"/>
    <w:rsid w:val="0034624E"/>
    <w:rsid w:val="00347676"/>
    <w:rsid w:val="00347683"/>
    <w:rsid w:val="00347CE5"/>
    <w:rsid w:val="00350670"/>
    <w:rsid w:val="003519A8"/>
    <w:rsid w:val="0035258E"/>
    <w:rsid w:val="00353AEA"/>
    <w:rsid w:val="00353B9A"/>
    <w:rsid w:val="00353D7A"/>
    <w:rsid w:val="00353F5A"/>
    <w:rsid w:val="003557E3"/>
    <w:rsid w:val="00355C47"/>
    <w:rsid w:val="00356E02"/>
    <w:rsid w:val="00362D1C"/>
    <w:rsid w:val="003637E9"/>
    <w:rsid w:val="00364EE1"/>
    <w:rsid w:val="00365E44"/>
    <w:rsid w:val="00366B9B"/>
    <w:rsid w:val="00370CDF"/>
    <w:rsid w:val="003716AE"/>
    <w:rsid w:val="0037225B"/>
    <w:rsid w:val="00372BC9"/>
    <w:rsid w:val="003807BC"/>
    <w:rsid w:val="003807FE"/>
    <w:rsid w:val="00380DDE"/>
    <w:rsid w:val="00381F08"/>
    <w:rsid w:val="00384B5E"/>
    <w:rsid w:val="00384D52"/>
    <w:rsid w:val="003862C1"/>
    <w:rsid w:val="003871D6"/>
    <w:rsid w:val="00387AD4"/>
    <w:rsid w:val="00391900"/>
    <w:rsid w:val="00391DFA"/>
    <w:rsid w:val="003922B6"/>
    <w:rsid w:val="0039472D"/>
    <w:rsid w:val="003951FE"/>
    <w:rsid w:val="00395B79"/>
    <w:rsid w:val="00396431"/>
    <w:rsid w:val="00396492"/>
    <w:rsid w:val="00396DA5"/>
    <w:rsid w:val="00397B72"/>
    <w:rsid w:val="003A0E49"/>
    <w:rsid w:val="003A11B0"/>
    <w:rsid w:val="003A15F3"/>
    <w:rsid w:val="003A1970"/>
    <w:rsid w:val="003A1D05"/>
    <w:rsid w:val="003A2CCE"/>
    <w:rsid w:val="003A2D1F"/>
    <w:rsid w:val="003A336B"/>
    <w:rsid w:val="003A38EB"/>
    <w:rsid w:val="003A3F4D"/>
    <w:rsid w:val="003A5AF7"/>
    <w:rsid w:val="003B1100"/>
    <w:rsid w:val="003B1623"/>
    <w:rsid w:val="003B271B"/>
    <w:rsid w:val="003B2CC5"/>
    <w:rsid w:val="003B3971"/>
    <w:rsid w:val="003B4DF2"/>
    <w:rsid w:val="003B5C27"/>
    <w:rsid w:val="003B5D47"/>
    <w:rsid w:val="003B6240"/>
    <w:rsid w:val="003B66D0"/>
    <w:rsid w:val="003B6F8A"/>
    <w:rsid w:val="003B7745"/>
    <w:rsid w:val="003C03B6"/>
    <w:rsid w:val="003C1AD7"/>
    <w:rsid w:val="003C3153"/>
    <w:rsid w:val="003C32EB"/>
    <w:rsid w:val="003C3D3B"/>
    <w:rsid w:val="003C3F1B"/>
    <w:rsid w:val="003C5A9D"/>
    <w:rsid w:val="003D005D"/>
    <w:rsid w:val="003D0791"/>
    <w:rsid w:val="003D07FA"/>
    <w:rsid w:val="003D1C16"/>
    <w:rsid w:val="003D1E51"/>
    <w:rsid w:val="003D409D"/>
    <w:rsid w:val="003D412D"/>
    <w:rsid w:val="003D53C7"/>
    <w:rsid w:val="003D7448"/>
    <w:rsid w:val="003E03B8"/>
    <w:rsid w:val="003E0594"/>
    <w:rsid w:val="003E10E1"/>
    <w:rsid w:val="003E1C55"/>
    <w:rsid w:val="003E208D"/>
    <w:rsid w:val="003E3A3E"/>
    <w:rsid w:val="003E5FD4"/>
    <w:rsid w:val="003E720E"/>
    <w:rsid w:val="003F1475"/>
    <w:rsid w:val="003F17B8"/>
    <w:rsid w:val="003F3E2D"/>
    <w:rsid w:val="003F6C17"/>
    <w:rsid w:val="00400303"/>
    <w:rsid w:val="00401B70"/>
    <w:rsid w:val="00401FC1"/>
    <w:rsid w:val="00402013"/>
    <w:rsid w:val="00404DA2"/>
    <w:rsid w:val="00407DFF"/>
    <w:rsid w:val="004107C9"/>
    <w:rsid w:val="00411254"/>
    <w:rsid w:val="004118B2"/>
    <w:rsid w:val="004119E2"/>
    <w:rsid w:val="004128E8"/>
    <w:rsid w:val="0041354C"/>
    <w:rsid w:val="00413CC5"/>
    <w:rsid w:val="00414502"/>
    <w:rsid w:val="00415080"/>
    <w:rsid w:val="00420339"/>
    <w:rsid w:val="00421359"/>
    <w:rsid w:val="00422FBE"/>
    <w:rsid w:val="0042384E"/>
    <w:rsid w:val="004257BA"/>
    <w:rsid w:val="0042760F"/>
    <w:rsid w:val="0043190D"/>
    <w:rsid w:val="00431C1F"/>
    <w:rsid w:val="00432AD7"/>
    <w:rsid w:val="00434E56"/>
    <w:rsid w:val="0043504C"/>
    <w:rsid w:val="004351EC"/>
    <w:rsid w:val="004353BA"/>
    <w:rsid w:val="00436DA4"/>
    <w:rsid w:val="004400C4"/>
    <w:rsid w:val="00440B4F"/>
    <w:rsid w:val="00440B57"/>
    <w:rsid w:val="00440BC2"/>
    <w:rsid w:val="0044191A"/>
    <w:rsid w:val="00442A56"/>
    <w:rsid w:val="004431D5"/>
    <w:rsid w:val="0044525B"/>
    <w:rsid w:val="004454CC"/>
    <w:rsid w:val="00446061"/>
    <w:rsid w:val="004469B9"/>
    <w:rsid w:val="00451EFD"/>
    <w:rsid w:val="004556B9"/>
    <w:rsid w:val="00455B54"/>
    <w:rsid w:val="00456B86"/>
    <w:rsid w:val="00456C8B"/>
    <w:rsid w:val="00456DA5"/>
    <w:rsid w:val="00457141"/>
    <w:rsid w:val="0045783F"/>
    <w:rsid w:val="00457869"/>
    <w:rsid w:val="004603FD"/>
    <w:rsid w:val="00460F6E"/>
    <w:rsid w:val="00461828"/>
    <w:rsid w:val="0046247A"/>
    <w:rsid w:val="00463B36"/>
    <w:rsid w:val="00464920"/>
    <w:rsid w:val="00465741"/>
    <w:rsid w:val="004662EA"/>
    <w:rsid w:val="00466EA6"/>
    <w:rsid w:val="00467F88"/>
    <w:rsid w:val="00470379"/>
    <w:rsid w:val="004726E2"/>
    <w:rsid w:val="004726F6"/>
    <w:rsid w:val="004734AF"/>
    <w:rsid w:val="0047422A"/>
    <w:rsid w:val="00474E29"/>
    <w:rsid w:val="00475E10"/>
    <w:rsid w:val="00477819"/>
    <w:rsid w:val="00477BDA"/>
    <w:rsid w:val="0048098C"/>
    <w:rsid w:val="00482214"/>
    <w:rsid w:val="00483FB2"/>
    <w:rsid w:val="0048401D"/>
    <w:rsid w:val="00485524"/>
    <w:rsid w:val="0048616C"/>
    <w:rsid w:val="00486297"/>
    <w:rsid w:val="004866C4"/>
    <w:rsid w:val="00486755"/>
    <w:rsid w:val="00486C97"/>
    <w:rsid w:val="00487458"/>
    <w:rsid w:val="00487B6A"/>
    <w:rsid w:val="00487C06"/>
    <w:rsid w:val="00492633"/>
    <w:rsid w:val="00494504"/>
    <w:rsid w:val="00494735"/>
    <w:rsid w:val="00495265"/>
    <w:rsid w:val="00495784"/>
    <w:rsid w:val="00495A1D"/>
    <w:rsid w:val="00495DCA"/>
    <w:rsid w:val="00495FEF"/>
    <w:rsid w:val="004970F1"/>
    <w:rsid w:val="00497D19"/>
    <w:rsid w:val="00497E05"/>
    <w:rsid w:val="004A066F"/>
    <w:rsid w:val="004A0BBD"/>
    <w:rsid w:val="004A1512"/>
    <w:rsid w:val="004A262C"/>
    <w:rsid w:val="004A3D7D"/>
    <w:rsid w:val="004A5C26"/>
    <w:rsid w:val="004A617C"/>
    <w:rsid w:val="004A679F"/>
    <w:rsid w:val="004A6A0E"/>
    <w:rsid w:val="004A7D06"/>
    <w:rsid w:val="004B0737"/>
    <w:rsid w:val="004B1573"/>
    <w:rsid w:val="004B2305"/>
    <w:rsid w:val="004B4A1A"/>
    <w:rsid w:val="004B4AA2"/>
    <w:rsid w:val="004B53AD"/>
    <w:rsid w:val="004B634F"/>
    <w:rsid w:val="004B681A"/>
    <w:rsid w:val="004C1A49"/>
    <w:rsid w:val="004C1F4D"/>
    <w:rsid w:val="004C3761"/>
    <w:rsid w:val="004C392B"/>
    <w:rsid w:val="004C54BB"/>
    <w:rsid w:val="004C5CB3"/>
    <w:rsid w:val="004C5F2E"/>
    <w:rsid w:val="004C692A"/>
    <w:rsid w:val="004C6988"/>
    <w:rsid w:val="004D00F4"/>
    <w:rsid w:val="004D162C"/>
    <w:rsid w:val="004D24F2"/>
    <w:rsid w:val="004D26BE"/>
    <w:rsid w:val="004D2A85"/>
    <w:rsid w:val="004D3D82"/>
    <w:rsid w:val="004D4105"/>
    <w:rsid w:val="004D4824"/>
    <w:rsid w:val="004D4EBD"/>
    <w:rsid w:val="004D63CD"/>
    <w:rsid w:val="004E0E63"/>
    <w:rsid w:val="004E3427"/>
    <w:rsid w:val="004E5502"/>
    <w:rsid w:val="004E5730"/>
    <w:rsid w:val="004E5CF4"/>
    <w:rsid w:val="004F1E15"/>
    <w:rsid w:val="004F218E"/>
    <w:rsid w:val="004F2C4C"/>
    <w:rsid w:val="004F370A"/>
    <w:rsid w:val="004F5032"/>
    <w:rsid w:val="004F5931"/>
    <w:rsid w:val="004F6893"/>
    <w:rsid w:val="004F6A14"/>
    <w:rsid w:val="004F6F15"/>
    <w:rsid w:val="004F72BD"/>
    <w:rsid w:val="004F7F78"/>
    <w:rsid w:val="00500FB0"/>
    <w:rsid w:val="00501183"/>
    <w:rsid w:val="00501B10"/>
    <w:rsid w:val="00503ACE"/>
    <w:rsid w:val="00503D59"/>
    <w:rsid w:val="00504400"/>
    <w:rsid w:val="005059F6"/>
    <w:rsid w:val="00506BD9"/>
    <w:rsid w:val="00507FE5"/>
    <w:rsid w:val="005108E5"/>
    <w:rsid w:val="00510B70"/>
    <w:rsid w:val="00511844"/>
    <w:rsid w:val="005125A6"/>
    <w:rsid w:val="00514525"/>
    <w:rsid w:val="00514A4C"/>
    <w:rsid w:val="00515F32"/>
    <w:rsid w:val="00516969"/>
    <w:rsid w:val="005204C2"/>
    <w:rsid w:val="0052085F"/>
    <w:rsid w:val="00520887"/>
    <w:rsid w:val="0052176B"/>
    <w:rsid w:val="00521ED0"/>
    <w:rsid w:val="005222D0"/>
    <w:rsid w:val="00522381"/>
    <w:rsid w:val="00523490"/>
    <w:rsid w:val="00523FC3"/>
    <w:rsid w:val="00526D73"/>
    <w:rsid w:val="0052792B"/>
    <w:rsid w:val="005304AC"/>
    <w:rsid w:val="00530723"/>
    <w:rsid w:val="00531CD1"/>
    <w:rsid w:val="005350C7"/>
    <w:rsid w:val="005351FE"/>
    <w:rsid w:val="005360FD"/>
    <w:rsid w:val="00536333"/>
    <w:rsid w:val="005367BD"/>
    <w:rsid w:val="00537032"/>
    <w:rsid w:val="00537832"/>
    <w:rsid w:val="00537EE6"/>
    <w:rsid w:val="00537FBA"/>
    <w:rsid w:val="00540756"/>
    <w:rsid w:val="00541A69"/>
    <w:rsid w:val="00542ABA"/>
    <w:rsid w:val="00544DE9"/>
    <w:rsid w:val="005461EB"/>
    <w:rsid w:val="00547215"/>
    <w:rsid w:val="005500F8"/>
    <w:rsid w:val="00550686"/>
    <w:rsid w:val="00552252"/>
    <w:rsid w:val="005527F0"/>
    <w:rsid w:val="00552D49"/>
    <w:rsid w:val="00554765"/>
    <w:rsid w:val="00554BA6"/>
    <w:rsid w:val="00554DF5"/>
    <w:rsid w:val="0055577B"/>
    <w:rsid w:val="00555E51"/>
    <w:rsid w:val="005570D8"/>
    <w:rsid w:val="005573F5"/>
    <w:rsid w:val="005614D1"/>
    <w:rsid w:val="00561B2D"/>
    <w:rsid w:val="00561CCE"/>
    <w:rsid w:val="005621E6"/>
    <w:rsid w:val="005622D6"/>
    <w:rsid w:val="00564AE1"/>
    <w:rsid w:val="00565114"/>
    <w:rsid w:val="00565BD5"/>
    <w:rsid w:val="005665A2"/>
    <w:rsid w:val="0056779D"/>
    <w:rsid w:val="00570268"/>
    <w:rsid w:val="00571957"/>
    <w:rsid w:val="00573D9E"/>
    <w:rsid w:val="0057452F"/>
    <w:rsid w:val="005770AE"/>
    <w:rsid w:val="00577D29"/>
    <w:rsid w:val="005806F2"/>
    <w:rsid w:val="00580948"/>
    <w:rsid w:val="00580A25"/>
    <w:rsid w:val="00580DB7"/>
    <w:rsid w:val="00580F5C"/>
    <w:rsid w:val="005810E5"/>
    <w:rsid w:val="00581DBE"/>
    <w:rsid w:val="0058275E"/>
    <w:rsid w:val="00583C93"/>
    <w:rsid w:val="0058408A"/>
    <w:rsid w:val="005841BA"/>
    <w:rsid w:val="00584D87"/>
    <w:rsid w:val="005857B7"/>
    <w:rsid w:val="00587230"/>
    <w:rsid w:val="00587CDF"/>
    <w:rsid w:val="00591580"/>
    <w:rsid w:val="0059264E"/>
    <w:rsid w:val="00593BA0"/>
    <w:rsid w:val="00593D2B"/>
    <w:rsid w:val="00595388"/>
    <w:rsid w:val="00595AD1"/>
    <w:rsid w:val="00597A58"/>
    <w:rsid w:val="005A0CD1"/>
    <w:rsid w:val="005A2323"/>
    <w:rsid w:val="005A2642"/>
    <w:rsid w:val="005A28A3"/>
    <w:rsid w:val="005A4035"/>
    <w:rsid w:val="005A4324"/>
    <w:rsid w:val="005A5C25"/>
    <w:rsid w:val="005A68E6"/>
    <w:rsid w:val="005A6B36"/>
    <w:rsid w:val="005A7D22"/>
    <w:rsid w:val="005B03E3"/>
    <w:rsid w:val="005B1583"/>
    <w:rsid w:val="005B16C2"/>
    <w:rsid w:val="005B1735"/>
    <w:rsid w:val="005B1801"/>
    <w:rsid w:val="005B27E4"/>
    <w:rsid w:val="005B45BD"/>
    <w:rsid w:val="005B46E8"/>
    <w:rsid w:val="005B52DE"/>
    <w:rsid w:val="005B5C91"/>
    <w:rsid w:val="005B7138"/>
    <w:rsid w:val="005C01FD"/>
    <w:rsid w:val="005C12CB"/>
    <w:rsid w:val="005C1B9B"/>
    <w:rsid w:val="005C3608"/>
    <w:rsid w:val="005C45BC"/>
    <w:rsid w:val="005C662B"/>
    <w:rsid w:val="005D0BA0"/>
    <w:rsid w:val="005D10A4"/>
    <w:rsid w:val="005D1267"/>
    <w:rsid w:val="005D4155"/>
    <w:rsid w:val="005D565F"/>
    <w:rsid w:val="005D5A63"/>
    <w:rsid w:val="005D6C45"/>
    <w:rsid w:val="005D70D3"/>
    <w:rsid w:val="005D779E"/>
    <w:rsid w:val="005E113D"/>
    <w:rsid w:val="005E1A28"/>
    <w:rsid w:val="005E2BFF"/>
    <w:rsid w:val="005E4028"/>
    <w:rsid w:val="005E42A7"/>
    <w:rsid w:val="005E4AC4"/>
    <w:rsid w:val="005E5156"/>
    <w:rsid w:val="005E6DD9"/>
    <w:rsid w:val="005E724F"/>
    <w:rsid w:val="005E750B"/>
    <w:rsid w:val="005E757F"/>
    <w:rsid w:val="005F0908"/>
    <w:rsid w:val="005F1C59"/>
    <w:rsid w:val="005F300F"/>
    <w:rsid w:val="005F63FB"/>
    <w:rsid w:val="005F784D"/>
    <w:rsid w:val="00601CB0"/>
    <w:rsid w:val="006020CD"/>
    <w:rsid w:val="006021CA"/>
    <w:rsid w:val="00602DDD"/>
    <w:rsid w:val="00602E7C"/>
    <w:rsid w:val="006034C8"/>
    <w:rsid w:val="00606CF1"/>
    <w:rsid w:val="006108B7"/>
    <w:rsid w:val="006112A8"/>
    <w:rsid w:val="00613A12"/>
    <w:rsid w:val="00613DBC"/>
    <w:rsid w:val="00614038"/>
    <w:rsid w:val="00622AD9"/>
    <w:rsid w:val="00624468"/>
    <w:rsid w:val="00624909"/>
    <w:rsid w:val="00625AFE"/>
    <w:rsid w:val="00626295"/>
    <w:rsid w:val="006322D3"/>
    <w:rsid w:val="00633854"/>
    <w:rsid w:val="006339A9"/>
    <w:rsid w:val="006342DE"/>
    <w:rsid w:val="00634AFF"/>
    <w:rsid w:val="00634E17"/>
    <w:rsid w:val="00635B2C"/>
    <w:rsid w:val="006364F0"/>
    <w:rsid w:val="0063674A"/>
    <w:rsid w:val="00637AE6"/>
    <w:rsid w:val="0064051E"/>
    <w:rsid w:val="00640571"/>
    <w:rsid w:val="00640F66"/>
    <w:rsid w:val="00641F0B"/>
    <w:rsid w:val="00642187"/>
    <w:rsid w:val="00643CE4"/>
    <w:rsid w:val="00643EDA"/>
    <w:rsid w:val="00647853"/>
    <w:rsid w:val="006514FF"/>
    <w:rsid w:val="006515FF"/>
    <w:rsid w:val="00655466"/>
    <w:rsid w:val="0065677A"/>
    <w:rsid w:val="00657227"/>
    <w:rsid w:val="00657521"/>
    <w:rsid w:val="00657B20"/>
    <w:rsid w:val="00657FBB"/>
    <w:rsid w:val="0066049B"/>
    <w:rsid w:val="0066066A"/>
    <w:rsid w:val="006613E6"/>
    <w:rsid w:val="0066245B"/>
    <w:rsid w:val="00662B44"/>
    <w:rsid w:val="00663C99"/>
    <w:rsid w:val="006642AF"/>
    <w:rsid w:val="00665060"/>
    <w:rsid w:val="0066554B"/>
    <w:rsid w:val="006665EF"/>
    <w:rsid w:val="0066757B"/>
    <w:rsid w:val="00667B0E"/>
    <w:rsid w:val="00667D0A"/>
    <w:rsid w:val="00667E87"/>
    <w:rsid w:val="00674FCD"/>
    <w:rsid w:val="00675157"/>
    <w:rsid w:val="00675251"/>
    <w:rsid w:val="00676389"/>
    <w:rsid w:val="00677347"/>
    <w:rsid w:val="006776A6"/>
    <w:rsid w:val="00677CB7"/>
    <w:rsid w:val="00677D91"/>
    <w:rsid w:val="0068002A"/>
    <w:rsid w:val="00682050"/>
    <w:rsid w:val="0068297C"/>
    <w:rsid w:val="006843E8"/>
    <w:rsid w:val="00684FC0"/>
    <w:rsid w:val="00685AC2"/>
    <w:rsid w:val="00685FF0"/>
    <w:rsid w:val="0068616A"/>
    <w:rsid w:val="006876B3"/>
    <w:rsid w:val="00687DC3"/>
    <w:rsid w:val="00691A26"/>
    <w:rsid w:val="00692316"/>
    <w:rsid w:val="00692EAD"/>
    <w:rsid w:val="00693746"/>
    <w:rsid w:val="00695B0B"/>
    <w:rsid w:val="006964EC"/>
    <w:rsid w:val="006A007F"/>
    <w:rsid w:val="006A02D5"/>
    <w:rsid w:val="006A30BC"/>
    <w:rsid w:val="006A356F"/>
    <w:rsid w:val="006A3D0D"/>
    <w:rsid w:val="006A4B24"/>
    <w:rsid w:val="006A5144"/>
    <w:rsid w:val="006A5D6B"/>
    <w:rsid w:val="006A627E"/>
    <w:rsid w:val="006A6AFA"/>
    <w:rsid w:val="006A798F"/>
    <w:rsid w:val="006B0723"/>
    <w:rsid w:val="006B0902"/>
    <w:rsid w:val="006B14EE"/>
    <w:rsid w:val="006B387B"/>
    <w:rsid w:val="006B42F6"/>
    <w:rsid w:val="006B4A15"/>
    <w:rsid w:val="006B5276"/>
    <w:rsid w:val="006B5401"/>
    <w:rsid w:val="006B6479"/>
    <w:rsid w:val="006B6777"/>
    <w:rsid w:val="006B7722"/>
    <w:rsid w:val="006C00F6"/>
    <w:rsid w:val="006C0634"/>
    <w:rsid w:val="006C1AB2"/>
    <w:rsid w:val="006C1FA6"/>
    <w:rsid w:val="006C5E03"/>
    <w:rsid w:val="006C6070"/>
    <w:rsid w:val="006C7098"/>
    <w:rsid w:val="006C7BF1"/>
    <w:rsid w:val="006D1EAC"/>
    <w:rsid w:val="006D3DEC"/>
    <w:rsid w:val="006D43CE"/>
    <w:rsid w:val="006D4F4D"/>
    <w:rsid w:val="006D50A4"/>
    <w:rsid w:val="006D584B"/>
    <w:rsid w:val="006D607D"/>
    <w:rsid w:val="006E10C1"/>
    <w:rsid w:val="006E3E89"/>
    <w:rsid w:val="006E6B96"/>
    <w:rsid w:val="006E78B5"/>
    <w:rsid w:val="006F426F"/>
    <w:rsid w:val="006F6EEB"/>
    <w:rsid w:val="006F74D4"/>
    <w:rsid w:val="007003D3"/>
    <w:rsid w:val="00700BB5"/>
    <w:rsid w:val="00700D0F"/>
    <w:rsid w:val="00700F54"/>
    <w:rsid w:val="007025BA"/>
    <w:rsid w:val="00702757"/>
    <w:rsid w:val="007027E7"/>
    <w:rsid w:val="007029BC"/>
    <w:rsid w:val="00703904"/>
    <w:rsid w:val="007039DE"/>
    <w:rsid w:val="00704545"/>
    <w:rsid w:val="00704D92"/>
    <w:rsid w:val="007053C1"/>
    <w:rsid w:val="0070542C"/>
    <w:rsid w:val="007056D0"/>
    <w:rsid w:val="00705CD2"/>
    <w:rsid w:val="00706167"/>
    <w:rsid w:val="007063BC"/>
    <w:rsid w:val="007069ED"/>
    <w:rsid w:val="00706ABA"/>
    <w:rsid w:val="00706ADD"/>
    <w:rsid w:val="00706F16"/>
    <w:rsid w:val="00710375"/>
    <w:rsid w:val="0071039A"/>
    <w:rsid w:val="007108E7"/>
    <w:rsid w:val="00711B2E"/>
    <w:rsid w:val="0071346A"/>
    <w:rsid w:val="00713A1C"/>
    <w:rsid w:val="00714E0B"/>
    <w:rsid w:val="00716743"/>
    <w:rsid w:val="00716A2A"/>
    <w:rsid w:val="007178DC"/>
    <w:rsid w:val="00717FBC"/>
    <w:rsid w:val="00720449"/>
    <w:rsid w:val="007217FB"/>
    <w:rsid w:val="00721AA5"/>
    <w:rsid w:val="00722141"/>
    <w:rsid w:val="007228A4"/>
    <w:rsid w:val="00722A36"/>
    <w:rsid w:val="007233E0"/>
    <w:rsid w:val="00723BA5"/>
    <w:rsid w:val="0072454E"/>
    <w:rsid w:val="007256EA"/>
    <w:rsid w:val="0072729F"/>
    <w:rsid w:val="00727440"/>
    <w:rsid w:val="00727EB5"/>
    <w:rsid w:val="0073024F"/>
    <w:rsid w:val="007307C6"/>
    <w:rsid w:val="00731960"/>
    <w:rsid w:val="007335EF"/>
    <w:rsid w:val="007341E9"/>
    <w:rsid w:val="00734787"/>
    <w:rsid w:val="00735968"/>
    <w:rsid w:val="00735E8A"/>
    <w:rsid w:val="00736A97"/>
    <w:rsid w:val="00737D22"/>
    <w:rsid w:val="00743B85"/>
    <w:rsid w:val="007441F8"/>
    <w:rsid w:val="00744245"/>
    <w:rsid w:val="007465A7"/>
    <w:rsid w:val="0074783C"/>
    <w:rsid w:val="007510B0"/>
    <w:rsid w:val="00751655"/>
    <w:rsid w:val="00755C93"/>
    <w:rsid w:val="00755D46"/>
    <w:rsid w:val="0075636C"/>
    <w:rsid w:val="00762877"/>
    <w:rsid w:val="00763B0B"/>
    <w:rsid w:val="00767A6B"/>
    <w:rsid w:val="0077021D"/>
    <w:rsid w:val="0077113C"/>
    <w:rsid w:val="00772468"/>
    <w:rsid w:val="00773BC3"/>
    <w:rsid w:val="00774B2D"/>
    <w:rsid w:val="0077512D"/>
    <w:rsid w:val="00776EF7"/>
    <w:rsid w:val="00780282"/>
    <w:rsid w:val="00780C66"/>
    <w:rsid w:val="007819DA"/>
    <w:rsid w:val="0078221D"/>
    <w:rsid w:val="00783F01"/>
    <w:rsid w:val="00785A1D"/>
    <w:rsid w:val="00785CE2"/>
    <w:rsid w:val="00785FF3"/>
    <w:rsid w:val="0079109F"/>
    <w:rsid w:val="007915AB"/>
    <w:rsid w:val="00792045"/>
    <w:rsid w:val="007928EE"/>
    <w:rsid w:val="00792FB0"/>
    <w:rsid w:val="007949DC"/>
    <w:rsid w:val="0079561B"/>
    <w:rsid w:val="0079693F"/>
    <w:rsid w:val="00796E50"/>
    <w:rsid w:val="00797474"/>
    <w:rsid w:val="00797BE7"/>
    <w:rsid w:val="00797E32"/>
    <w:rsid w:val="007A0AB4"/>
    <w:rsid w:val="007A0CF1"/>
    <w:rsid w:val="007A1563"/>
    <w:rsid w:val="007A2E48"/>
    <w:rsid w:val="007A39BF"/>
    <w:rsid w:val="007A3D57"/>
    <w:rsid w:val="007A4F6C"/>
    <w:rsid w:val="007A51B4"/>
    <w:rsid w:val="007A62CF"/>
    <w:rsid w:val="007B002C"/>
    <w:rsid w:val="007B0E2B"/>
    <w:rsid w:val="007B45C9"/>
    <w:rsid w:val="007B58BD"/>
    <w:rsid w:val="007B63C4"/>
    <w:rsid w:val="007B6A29"/>
    <w:rsid w:val="007B72AD"/>
    <w:rsid w:val="007B7CCA"/>
    <w:rsid w:val="007C0C2C"/>
    <w:rsid w:val="007C0D1B"/>
    <w:rsid w:val="007C0F4F"/>
    <w:rsid w:val="007C2CBD"/>
    <w:rsid w:val="007C31D9"/>
    <w:rsid w:val="007C3666"/>
    <w:rsid w:val="007C3D7B"/>
    <w:rsid w:val="007C41DB"/>
    <w:rsid w:val="007C4424"/>
    <w:rsid w:val="007C4BCC"/>
    <w:rsid w:val="007C5561"/>
    <w:rsid w:val="007C57C7"/>
    <w:rsid w:val="007C6A93"/>
    <w:rsid w:val="007C6E87"/>
    <w:rsid w:val="007C7AA3"/>
    <w:rsid w:val="007D11D2"/>
    <w:rsid w:val="007D1F04"/>
    <w:rsid w:val="007D2F19"/>
    <w:rsid w:val="007D3169"/>
    <w:rsid w:val="007D3661"/>
    <w:rsid w:val="007D46D9"/>
    <w:rsid w:val="007D5C46"/>
    <w:rsid w:val="007D6D19"/>
    <w:rsid w:val="007D6F73"/>
    <w:rsid w:val="007E03B5"/>
    <w:rsid w:val="007E159C"/>
    <w:rsid w:val="007E1A42"/>
    <w:rsid w:val="007E2E53"/>
    <w:rsid w:val="007E2E82"/>
    <w:rsid w:val="007E480F"/>
    <w:rsid w:val="007E6925"/>
    <w:rsid w:val="007E6E4B"/>
    <w:rsid w:val="007E767C"/>
    <w:rsid w:val="007F0988"/>
    <w:rsid w:val="007F238F"/>
    <w:rsid w:val="007F2B24"/>
    <w:rsid w:val="007F3058"/>
    <w:rsid w:val="007F3207"/>
    <w:rsid w:val="007F349C"/>
    <w:rsid w:val="007F4E87"/>
    <w:rsid w:val="007F58D8"/>
    <w:rsid w:val="007F65EC"/>
    <w:rsid w:val="007F6A01"/>
    <w:rsid w:val="007F6FD6"/>
    <w:rsid w:val="00800B77"/>
    <w:rsid w:val="00801716"/>
    <w:rsid w:val="0080177A"/>
    <w:rsid w:val="0080224F"/>
    <w:rsid w:val="00802716"/>
    <w:rsid w:val="00803CD6"/>
    <w:rsid w:val="00805ADD"/>
    <w:rsid w:val="0080626B"/>
    <w:rsid w:val="00806CBD"/>
    <w:rsid w:val="008108D2"/>
    <w:rsid w:val="00810B77"/>
    <w:rsid w:val="00811198"/>
    <w:rsid w:val="008131E2"/>
    <w:rsid w:val="008133BC"/>
    <w:rsid w:val="00813EEB"/>
    <w:rsid w:val="00814D3C"/>
    <w:rsid w:val="0081574E"/>
    <w:rsid w:val="00815B11"/>
    <w:rsid w:val="00816454"/>
    <w:rsid w:val="00816A0D"/>
    <w:rsid w:val="00817098"/>
    <w:rsid w:val="00817792"/>
    <w:rsid w:val="00817A35"/>
    <w:rsid w:val="00820DA3"/>
    <w:rsid w:val="0082139B"/>
    <w:rsid w:val="008219AC"/>
    <w:rsid w:val="00826CFB"/>
    <w:rsid w:val="00826E94"/>
    <w:rsid w:val="008277D1"/>
    <w:rsid w:val="00827BE5"/>
    <w:rsid w:val="00831681"/>
    <w:rsid w:val="00831E0F"/>
    <w:rsid w:val="008320AD"/>
    <w:rsid w:val="00833E13"/>
    <w:rsid w:val="0083418C"/>
    <w:rsid w:val="00836246"/>
    <w:rsid w:val="00836574"/>
    <w:rsid w:val="008434A6"/>
    <w:rsid w:val="0084447B"/>
    <w:rsid w:val="00846E8E"/>
    <w:rsid w:val="00850A0D"/>
    <w:rsid w:val="00851770"/>
    <w:rsid w:val="00852865"/>
    <w:rsid w:val="00852D4A"/>
    <w:rsid w:val="00854EE3"/>
    <w:rsid w:val="00860A5D"/>
    <w:rsid w:val="00861340"/>
    <w:rsid w:val="00863538"/>
    <w:rsid w:val="0086407C"/>
    <w:rsid w:val="00866696"/>
    <w:rsid w:val="00870542"/>
    <w:rsid w:val="00871EB4"/>
    <w:rsid w:val="00872A0F"/>
    <w:rsid w:val="00877075"/>
    <w:rsid w:val="008812E4"/>
    <w:rsid w:val="00881FB0"/>
    <w:rsid w:val="00882F3E"/>
    <w:rsid w:val="008836F6"/>
    <w:rsid w:val="00884038"/>
    <w:rsid w:val="00884100"/>
    <w:rsid w:val="0088463B"/>
    <w:rsid w:val="008847FD"/>
    <w:rsid w:val="008849AF"/>
    <w:rsid w:val="00885599"/>
    <w:rsid w:val="00885A94"/>
    <w:rsid w:val="00887743"/>
    <w:rsid w:val="008905C3"/>
    <w:rsid w:val="00892766"/>
    <w:rsid w:val="00892AB8"/>
    <w:rsid w:val="00892FB1"/>
    <w:rsid w:val="0089442A"/>
    <w:rsid w:val="008945D7"/>
    <w:rsid w:val="00895050"/>
    <w:rsid w:val="00896BAC"/>
    <w:rsid w:val="008973F3"/>
    <w:rsid w:val="00897447"/>
    <w:rsid w:val="00897A79"/>
    <w:rsid w:val="00897B11"/>
    <w:rsid w:val="008A0835"/>
    <w:rsid w:val="008A0E20"/>
    <w:rsid w:val="008A146C"/>
    <w:rsid w:val="008A183F"/>
    <w:rsid w:val="008A1BAD"/>
    <w:rsid w:val="008A483E"/>
    <w:rsid w:val="008A5E4E"/>
    <w:rsid w:val="008A6954"/>
    <w:rsid w:val="008A73CF"/>
    <w:rsid w:val="008A785E"/>
    <w:rsid w:val="008A7F30"/>
    <w:rsid w:val="008B058F"/>
    <w:rsid w:val="008B0AC2"/>
    <w:rsid w:val="008B0C8B"/>
    <w:rsid w:val="008B1545"/>
    <w:rsid w:val="008B310F"/>
    <w:rsid w:val="008B3A60"/>
    <w:rsid w:val="008B5614"/>
    <w:rsid w:val="008B632E"/>
    <w:rsid w:val="008C0797"/>
    <w:rsid w:val="008C0934"/>
    <w:rsid w:val="008C0AE3"/>
    <w:rsid w:val="008C10F2"/>
    <w:rsid w:val="008C172C"/>
    <w:rsid w:val="008C19A0"/>
    <w:rsid w:val="008C301D"/>
    <w:rsid w:val="008C3970"/>
    <w:rsid w:val="008C4AD8"/>
    <w:rsid w:val="008C4F82"/>
    <w:rsid w:val="008C518E"/>
    <w:rsid w:val="008C6069"/>
    <w:rsid w:val="008C66F3"/>
    <w:rsid w:val="008C7205"/>
    <w:rsid w:val="008C7759"/>
    <w:rsid w:val="008C7CDA"/>
    <w:rsid w:val="008C7D7F"/>
    <w:rsid w:val="008C7F7D"/>
    <w:rsid w:val="008D1C6B"/>
    <w:rsid w:val="008D4BBC"/>
    <w:rsid w:val="008D4E89"/>
    <w:rsid w:val="008D4F8E"/>
    <w:rsid w:val="008D500E"/>
    <w:rsid w:val="008E07E6"/>
    <w:rsid w:val="008E1145"/>
    <w:rsid w:val="008E39DA"/>
    <w:rsid w:val="008E482D"/>
    <w:rsid w:val="008E73BE"/>
    <w:rsid w:val="008E7CA0"/>
    <w:rsid w:val="008F0849"/>
    <w:rsid w:val="008F181B"/>
    <w:rsid w:val="008F21B3"/>
    <w:rsid w:val="008F2706"/>
    <w:rsid w:val="008F2DC3"/>
    <w:rsid w:val="008F345A"/>
    <w:rsid w:val="008F38A0"/>
    <w:rsid w:val="008F54E1"/>
    <w:rsid w:val="008F56CD"/>
    <w:rsid w:val="008F5827"/>
    <w:rsid w:val="008F67D3"/>
    <w:rsid w:val="008F7AE0"/>
    <w:rsid w:val="008F7C03"/>
    <w:rsid w:val="0090003A"/>
    <w:rsid w:val="0090141C"/>
    <w:rsid w:val="0090143C"/>
    <w:rsid w:val="009015B0"/>
    <w:rsid w:val="00901A52"/>
    <w:rsid w:val="00901AF9"/>
    <w:rsid w:val="009025E5"/>
    <w:rsid w:val="00902C69"/>
    <w:rsid w:val="00903C1C"/>
    <w:rsid w:val="00905EB2"/>
    <w:rsid w:val="00906E81"/>
    <w:rsid w:val="00906F71"/>
    <w:rsid w:val="009102EB"/>
    <w:rsid w:val="00910548"/>
    <w:rsid w:val="009108BE"/>
    <w:rsid w:val="00910E92"/>
    <w:rsid w:val="0091159C"/>
    <w:rsid w:val="00911F00"/>
    <w:rsid w:val="00911F3E"/>
    <w:rsid w:val="00912594"/>
    <w:rsid w:val="00913107"/>
    <w:rsid w:val="00915D52"/>
    <w:rsid w:val="0091627A"/>
    <w:rsid w:val="00917DCA"/>
    <w:rsid w:val="00920705"/>
    <w:rsid w:val="00921E2C"/>
    <w:rsid w:val="00922615"/>
    <w:rsid w:val="00925D02"/>
    <w:rsid w:val="00925D89"/>
    <w:rsid w:val="00930112"/>
    <w:rsid w:val="009309BA"/>
    <w:rsid w:val="009321FE"/>
    <w:rsid w:val="00933C37"/>
    <w:rsid w:val="00934392"/>
    <w:rsid w:val="00935F23"/>
    <w:rsid w:val="0093663E"/>
    <w:rsid w:val="00936D60"/>
    <w:rsid w:val="009404DC"/>
    <w:rsid w:val="00941F23"/>
    <w:rsid w:val="0094270B"/>
    <w:rsid w:val="0094440D"/>
    <w:rsid w:val="00944FA1"/>
    <w:rsid w:val="00945747"/>
    <w:rsid w:val="00945CA5"/>
    <w:rsid w:val="009462DB"/>
    <w:rsid w:val="00946EBE"/>
    <w:rsid w:val="00947894"/>
    <w:rsid w:val="00950453"/>
    <w:rsid w:val="009511B9"/>
    <w:rsid w:val="00952989"/>
    <w:rsid w:val="00952EBB"/>
    <w:rsid w:val="00955292"/>
    <w:rsid w:val="00955C4F"/>
    <w:rsid w:val="00956200"/>
    <w:rsid w:val="00957277"/>
    <w:rsid w:val="009573E8"/>
    <w:rsid w:val="00957F59"/>
    <w:rsid w:val="0096059D"/>
    <w:rsid w:val="00961907"/>
    <w:rsid w:val="00962296"/>
    <w:rsid w:val="00962527"/>
    <w:rsid w:val="00962B59"/>
    <w:rsid w:val="00963679"/>
    <w:rsid w:val="00964EE1"/>
    <w:rsid w:val="009652EA"/>
    <w:rsid w:val="00965384"/>
    <w:rsid w:val="00965D80"/>
    <w:rsid w:val="009668B7"/>
    <w:rsid w:val="00966CAD"/>
    <w:rsid w:val="00967650"/>
    <w:rsid w:val="009708D8"/>
    <w:rsid w:val="009741C7"/>
    <w:rsid w:val="009741EE"/>
    <w:rsid w:val="00980070"/>
    <w:rsid w:val="00982626"/>
    <w:rsid w:val="00983958"/>
    <w:rsid w:val="0098423D"/>
    <w:rsid w:val="00990A37"/>
    <w:rsid w:val="0099214A"/>
    <w:rsid w:val="00993E7B"/>
    <w:rsid w:val="00993F63"/>
    <w:rsid w:val="009947D7"/>
    <w:rsid w:val="00994AEE"/>
    <w:rsid w:val="00995BE1"/>
    <w:rsid w:val="00996343"/>
    <w:rsid w:val="009967AF"/>
    <w:rsid w:val="00996DB4"/>
    <w:rsid w:val="009971C2"/>
    <w:rsid w:val="009976E0"/>
    <w:rsid w:val="009A1F28"/>
    <w:rsid w:val="009A292E"/>
    <w:rsid w:val="009A38F0"/>
    <w:rsid w:val="009A3C55"/>
    <w:rsid w:val="009A63FD"/>
    <w:rsid w:val="009A6A1D"/>
    <w:rsid w:val="009A6CBA"/>
    <w:rsid w:val="009B23C2"/>
    <w:rsid w:val="009B2A34"/>
    <w:rsid w:val="009B2CA2"/>
    <w:rsid w:val="009B2CE4"/>
    <w:rsid w:val="009B2EAA"/>
    <w:rsid w:val="009B3024"/>
    <w:rsid w:val="009B44E4"/>
    <w:rsid w:val="009B5D4D"/>
    <w:rsid w:val="009B6749"/>
    <w:rsid w:val="009B747F"/>
    <w:rsid w:val="009C14DA"/>
    <w:rsid w:val="009C1CC7"/>
    <w:rsid w:val="009C1EC1"/>
    <w:rsid w:val="009C27BA"/>
    <w:rsid w:val="009C3596"/>
    <w:rsid w:val="009C372C"/>
    <w:rsid w:val="009C7467"/>
    <w:rsid w:val="009D0E22"/>
    <w:rsid w:val="009D11BB"/>
    <w:rsid w:val="009D149D"/>
    <w:rsid w:val="009D2435"/>
    <w:rsid w:val="009D417D"/>
    <w:rsid w:val="009D4741"/>
    <w:rsid w:val="009D7386"/>
    <w:rsid w:val="009E0BD6"/>
    <w:rsid w:val="009E1452"/>
    <w:rsid w:val="009E19FB"/>
    <w:rsid w:val="009E1A32"/>
    <w:rsid w:val="009E1EEE"/>
    <w:rsid w:val="009E2272"/>
    <w:rsid w:val="009E281B"/>
    <w:rsid w:val="009E6AB3"/>
    <w:rsid w:val="009E6E2A"/>
    <w:rsid w:val="009E6F1F"/>
    <w:rsid w:val="009F2C61"/>
    <w:rsid w:val="009F2D01"/>
    <w:rsid w:val="009F3187"/>
    <w:rsid w:val="009F4055"/>
    <w:rsid w:val="009F455D"/>
    <w:rsid w:val="009F46D3"/>
    <w:rsid w:val="009F4AB7"/>
    <w:rsid w:val="009F56B9"/>
    <w:rsid w:val="009F5EB8"/>
    <w:rsid w:val="009F6B2E"/>
    <w:rsid w:val="009F784D"/>
    <w:rsid w:val="00A007D4"/>
    <w:rsid w:val="00A008B2"/>
    <w:rsid w:val="00A01110"/>
    <w:rsid w:val="00A02EA1"/>
    <w:rsid w:val="00A02EC0"/>
    <w:rsid w:val="00A03523"/>
    <w:rsid w:val="00A035DF"/>
    <w:rsid w:val="00A04D21"/>
    <w:rsid w:val="00A04DA1"/>
    <w:rsid w:val="00A05ACD"/>
    <w:rsid w:val="00A05B5A"/>
    <w:rsid w:val="00A1061C"/>
    <w:rsid w:val="00A1091A"/>
    <w:rsid w:val="00A12ED6"/>
    <w:rsid w:val="00A13180"/>
    <w:rsid w:val="00A1404B"/>
    <w:rsid w:val="00A14A69"/>
    <w:rsid w:val="00A14B7C"/>
    <w:rsid w:val="00A15734"/>
    <w:rsid w:val="00A168ED"/>
    <w:rsid w:val="00A17781"/>
    <w:rsid w:val="00A17BFC"/>
    <w:rsid w:val="00A23926"/>
    <w:rsid w:val="00A249F9"/>
    <w:rsid w:val="00A26E30"/>
    <w:rsid w:val="00A273D1"/>
    <w:rsid w:val="00A27DA1"/>
    <w:rsid w:val="00A30499"/>
    <w:rsid w:val="00A30DA7"/>
    <w:rsid w:val="00A34788"/>
    <w:rsid w:val="00A3560A"/>
    <w:rsid w:val="00A357AE"/>
    <w:rsid w:val="00A3628A"/>
    <w:rsid w:val="00A405F8"/>
    <w:rsid w:val="00A40F67"/>
    <w:rsid w:val="00A412E6"/>
    <w:rsid w:val="00A42887"/>
    <w:rsid w:val="00A42BAF"/>
    <w:rsid w:val="00A43C78"/>
    <w:rsid w:val="00A449E2"/>
    <w:rsid w:val="00A45AED"/>
    <w:rsid w:val="00A45BA3"/>
    <w:rsid w:val="00A4625A"/>
    <w:rsid w:val="00A4669C"/>
    <w:rsid w:val="00A5037D"/>
    <w:rsid w:val="00A51936"/>
    <w:rsid w:val="00A51DEF"/>
    <w:rsid w:val="00A526E0"/>
    <w:rsid w:val="00A52871"/>
    <w:rsid w:val="00A547E7"/>
    <w:rsid w:val="00A55854"/>
    <w:rsid w:val="00A573EB"/>
    <w:rsid w:val="00A57848"/>
    <w:rsid w:val="00A63F21"/>
    <w:rsid w:val="00A65532"/>
    <w:rsid w:val="00A65631"/>
    <w:rsid w:val="00A65DD6"/>
    <w:rsid w:val="00A66CA1"/>
    <w:rsid w:val="00A72018"/>
    <w:rsid w:val="00A72AC7"/>
    <w:rsid w:val="00A7446E"/>
    <w:rsid w:val="00A74A7D"/>
    <w:rsid w:val="00A74DD9"/>
    <w:rsid w:val="00A766D3"/>
    <w:rsid w:val="00A771B5"/>
    <w:rsid w:val="00A7722D"/>
    <w:rsid w:val="00A77BFD"/>
    <w:rsid w:val="00A77E02"/>
    <w:rsid w:val="00A81076"/>
    <w:rsid w:val="00A82E39"/>
    <w:rsid w:val="00A83961"/>
    <w:rsid w:val="00A83D40"/>
    <w:rsid w:val="00A84F8F"/>
    <w:rsid w:val="00A869DD"/>
    <w:rsid w:val="00A870A6"/>
    <w:rsid w:val="00A8781C"/>
    <w:rsid w:val="00A879BC"/>
    <w:rsid w:val="00A90D1A"/>
    <w:rsid w:val="00A92772"/>
    <w:rsid w:val="00A9587B"/>
    <w:rsid w:val="00A96170"/>
    <w:rsid w:val="00A96477"/>
    <w:rsid w:val="00AA0EA0"/>
    <w:rsid w:val="00AA190B"/>
    <w:rsid w:val="00AA1F68"/>
    <w:rsid w:val="00AA3425"/>
    <w:rsid w:val="00AA50F9"/>
    <w:rsid w:val="00AA539C"/>
    <w:rsid w:val="00AA5600"/>
    <w:rsid w:val="00AA585D"/>
    <w:rsid w:val="00AA5DC7"/>
    <w:rsid w:val="00AA6BF8"/>
    <w:rsid w:val="00AB127E"/>
    <w:rsid w:val="00AB3D0D"/>
    <w:rsid w:val="00AB4428"/>
    <w:rsid w:val="00AB55EB"/>
    <w:rsid w:val="00AB5D7C"/>
    <w:rsid w:val="00AB7799"/>
    <w:rsid w:val="00AB7D8E"/>
    <w:rsid w:val="00AC0365"/>
    <w:rsid w:val="00AC293A"/>
    <w:rsid w:val="00AC3203"/>
    <w:rsid w:val="00AC3A25"/>
    <w:rsid w:val="00AC3B99"/>
    <w:rsid w:val="00AC458F"/>
    <w:rsid w:val="00AC6395"/>
    <w:rsid w:val="00AC7354"/>
    <w:rsid w:val="00AC791B"/>
    <w:rsid w:val="00AD0130"/>
    <w:rsid w:val="00AD0AD2"/>
    <w:rsid w:val="00AD1332"/>
    <w:rsid w:val="00AD41E8"/>
    <w:rsid w:val="00AD42F9"/>
    <w:rsid w:val="00AD57AF"/>
    <w:rsid w:val="00AD59C2"/>
    <w:rsid w:val="00AD6C6C"/>
    <w:rsid w:val="00AD72CB"/>
    <w:rsid w:val="00AD7F3F"/>
    <w:rsid w:val="00AE0350"/>
    <w:rsid w:val="00AE0709"/>
    <w:rsid w:val="00AE0993"/>
    <w:rsid w:val="00AE44AE"/>
    <w:rsid w:val="00AE49A3"/>
    <w:rsid w:val="00AE5F3C"/>
    <w:rsid w:val="00AE6198"/>
    <w:rsid w:val="00AE6F85"/>
    <w:rsid w:val="00AF017E"/>
    <w:rsid w:val="00AF124B"/>
    <w:rsid w:val="00AF46BF"/>
    <w:rsid w:val="00AF5B52"/>
    <w:rsid w:val="00AF5BB9"/>
    <w:rsid w:val="00AF6199"/>
    <w:rsid w:val="00AF731D"/>
    <w:rsid w:val="00B0189B"/>
    <w:rsid w:val="00B01E10"/>
    <w:rsid w:val="00B04D80"/>
    <w:rsid w:val="00B04F26"/>
    <w:rsid w:val="00B07AAE"/>
    <w:rsid w:val="00B11E01"/>
    <w:rsid w:val="00B1354C"/>
    <w:rsid w:val="00B137EA"/>
    <w:rsid w:val="00B14A19"/>
    <w:rsid w:val="00B15421"/>
    <w:rsid w:val="00B1651B"/>
    <w:rsid w:val="00B175F1"/>
    <w:rsid w:val="00B20AE8"/>
    <w:rsid w:val="00B21001"/>
    <w:rsid w:val="00B218E3"/>
    <w:rsid w:val="00B233F7"/>
    <w:rsid w:val="00B23CFD"/>
    <w:rsid w:val="00B24897"/>
    <w:rsid w:val="00B2503A"/>
    <w:rsid w:val="00B269BB"/>
    <w:rsid w:val="00B270C6"/>
    <w:rsid w:val="00B27AE7"/>
    <w:rsid w:val="00B27BB1"/>
    <w:rsid w:val="00B309EC"/>
    <w:rsid w:val="00B3356E"/>
    <w:rsid w:val="00B33A97"/>
    <w:rsid w:val="00B33B18"/>
    <w:rsid w:val="00B343E4"/>
    <w:rsid w:val="00B36A61"/>
    <w:rsid w:val="00B37183"/>
    <w:rsid w:val="00B37847"/>
    <w:rsid w:val="00B407D6"/>
    <w:rsid w:val="00B47578"/>
    <w:rsid w:val="00B47C28"/>
    <w:rsid w:val="00B50C51"/>
    <w:rsid w:val="00B5132C"/>
    <w:rsid w:val="00B5487B"/>
    <w:rsid w:val="00B608E9"/>
    <w:rsid w:val="00B61B62"/>
    <w:rsid w:val="00B61E05"/>
    <w:rsid w:val="00B62BE2"/>
    <w:rsid w:val="00B6444C"/>
    <w:rsid w:val="00B65125"/>
    <w:rsid w:val="00B6612F"/>
    <w:rsid w:val="00B66D05"/>
    <w:rsid w:val="00B67E6C"/>
    <w:rsid w:val="00B70ED0"/>
    <w:rsid w:val="00B70EE8"/>
    <w:rsid w:val="00B71172"/>
    <w:rsid w:val="00B72DF4"/>
    <w:rsid w:val="00B739B9"/>
    <w:rsid w:val="00B73A44"/>
    <w:rsid w:val="00B73D5C"/>
    <w:rsid w:val="00B742CB"/>
    <w:rsid w:val="00B747CA"/>
    <w:rsid w:val="00B75C12"/>
    <w:rsid w:val="00B769AF"/>
    <w:rsid w:val="00B77D35"/>
    <w:rsid w:val="00B82136"/>
    <w:rsid w:val="00B82B18"/>
    <w:rsid w:val="00B82D97"/>
    <w:rsid w:val="00B834A3"/>
    <w:rsid w:val="00B842C9"/>
    <w:rsid w:val="00B84500"/>
    <w:rsid w:val="00B856D6"/>
    <w:rsid w:val="00B860D5"/>
    <w:rsid w:val="00B868AE"/>
    <w:rsid w:val="00B87193"/>
    <w:rsid w:val="00B901DF"/>
    <w:rsid w:val="00B9096B"/>
    <w:rsid w:val="00B9212C"/>
    <w:rsid w:val="00B9263A"/>
    <w:rsid w:val="00B92DC9"/>
    <w:rsid w:val="00B9455F"/>
    <w:rsid w:val="00B95400"/>
    <w:rsid w:val="00B96056"/>
    <w:rsid w:val="00B96F5F"/>
    <w:rsid w:val="00BA11AA"/>
    <w:rsid w:val="00BA1B57"/>
    <w:rsid w:val="00BA1E74"/>
    <w:rsid w:val="00BA3779"/>
    <w:rsid w:val="00BA3C11"/>
    <w:rsid w:val="00BA4B17"/>
    <w:rsid w:val="00BA6327"/>
    <w:rsid w:val="00BA652A"/>
    <w:rsid w:val="00BA7929"/>
    <w:rsid w:val="00BB0184"/>
    <w:rsid w:val="00BB1DD5"/>
    <w:rsid w:val="00BB280D"/>
    <w:rsid w:val="00BB2BC1"/>
    <w:rsid w:val="00BB3ED4"/>
    <w:rsid w:val="00BB5EA9"/>
    <w:rsid w:val="00BB6397"/>
    <w:rsid w:val="00BB6CFF"/>
    <w:rsid w:val="00BB7A7A"/>
    <w:rsid w:val="00BC03E7"/>
    <w:rsid w:val="00BC129D"/>
    <w:rsid w:val="00BC187F"/>
    <w:rsid w:val="00BC694E"/>
    <w:rsid w:val="00BC6E34"/>
    <w:rsid w:val="00BD0499"/>
    <w:rsid w:val="00BD0DD1"/>
    <w:rsid w:val="00BD235E"/>
    <w:rsid w:val="00BD4223"/>
    <w:rsid w:val="00BD6094"/>
    <w:rsid w:val="00BD7065"/>
    <w:rsid w:val="00BD71F7"/>
    <w:rsid w:val="00BD767C"/>
    <w:rsid w:val="00BE0319"/>
    <w:rsid w:val="00BE075F"/>
    <w:rsid w:val="00BE0D55"/>
    <w:rsid w:val="00BE1413"/>
    <w:rsid w:val="00BE4204"/>
    <w:rsid w:val="00BE4413"/>
    <w:rsid w:val="00BE4784"/>
    <w:rsid w:val="00BE4F62"/>
    <w:rsid w:val="00BE581B"/>
    <w:rsid w:val="00BE5C5A"/>
    <w:rsid w:val="00BE6009"/>
    <w:rsid w:val="00BE6580"/>
    <w:rsid w:val="00BE7E46"/>
    <w:rsid w:val="00BF0593"/>
    <w:rsid w:val="00BF1E8C"/>
    <w:rsid w:val="00BF1F35"/>
    <w:rsid w:val="00BF2730"/>
    <w:rsid w:val="00BF2AE7"/>
    <w:rsid w:val="00BF42A1"/>
    <w:rsid w:val="00BF46D7"/>
    <w:rsid w:val="00BF5842"/>
    <w:rsid w:val="00BF5BB0"/>
    <w:rsid w:val="00BF6333"/>
    <w:rsid w:val="00BF684F"/>
    <w:rsid w:val="00BF7E47"/>
    <w:rsid w:val="00C002B8"/>
    <w:rsid w:val="00C0130E"/>
    <w:rsid w:val="00C01612"/>
    <w:rsid w:val="00C024DE"/>
    <w:rsid w:val="00C0342B"/>
    <w:rsid w:val="00C04898"/>
    <w:rsid w:val="00C0555B"/>
    <w:rsid w:val="00C055A6"/>
    <w:rsid w:val="00C056CF"/>
    <w:rsid w:val="00C06602"/>
    <w:rsid w:val="00C067F3"/>
    <w:rsid w:val="00C07572"/>
    <w:rsid w:val="00C07BF2"/>
    <w:rsid w:val="00C10497"/>
    <w:rsid w:val="00C1192A"/>
    <w:rsid w:val="00C1318A"/>
    <w:rsid w:val="00C131E5"/>
    <w:rsid w:val="00C13B16"/>
    <w:rsid w:val="00C14370"/>
    <w:rsid w:val="00C1492C"/>
    <w:rsid w:val="00C15338"/>
    <w:rsid w:val="00C2056E"/>
    <w:rsid w:val="00C214F5"/>
    <w:rsid w:val="00C21702"/>
    <w:rsid w:val="00C220CA"/>
    <w:rsid w:val="00C22CC3"/>
    <w:rsid w:val="00C236EE"/>
    <w:rsid w:val="00C26C41"/>
    <w:rsid w:val="00C27506"/>
    <w:rsid w:val="00C302D1"/>
    <w:rsid w:val="00C303D9"/>
    <w:rsid w:val="00C30EFE"/>
    <w:rsid w:val="00C340AC"/>
    <w:rsid w:val="00C344C2"/>
    <w:rsid w:val="00C36105"/>
    <w:rsid w:val="00C40B14"/>
    <w:rsid w:val="00C40F05"/>
    <w:rsid w:val="00C41004"/>
    <w:rsid w:val="00C412C4"/>
    <w:rsid w:val="00C4155A"/>
    <w:rsid w:val="00C41E84"/>
    <w:rsid w:val="00C4205C"/>
    <w:rsid w:val="00C42CA6"/>
    <w:rsid w:val="00C43977"/>
    <w:rsid w:val="00C43B8A"/>
    <w:rsid w:val="00C500F9"/>
    <w:rsid w:val="00C505BE"/>
    <w:rsid w:val="00C50DC0"/>
    <w:rsid w:val="00C527A5"/>
    <w:rsid w:val="00C53F72"/>
    <w:rsid w:val="00C54505"/>
    <w:rsid w:val="00C54B76"/>
    <w:rsid w:val="00C55F01"/>
    <w:rsid w:val="00C5609B"/>
    <w:rsid w:val="00C56272"/>
    <w:rsid w:val="00C56340"/>
    <w:rsid w:val="00C56A2F"/>
    <w:rsid w:val="00C579A2"/>
    <w:rsid w:val="00C57CF5"/>
    <w:rsid w:val="00C62777"/>
    <w:rsid w:val="00C62D71"/>
    <w:rsid w:val="00C63C80"/>
    <w:rsid w:val="00C64611"/>
    <w:rsid w:val="00C6664C"/>
    <w:rsid w:val="00C67ABA"/>
    <w:rsid w:val="00C707AE"/>
    <w:rsid w:val="00C70A9C"/>
    <w:rsid w:val="00C70C5A"/>
    <w:rsid w:val="00C71430"/>
    <w:rsid w:val="00C7323D"/>
    <w:rsid w:val="00C73E63"/>
    <w:rsid w:val="00C74086"/>
    <w:rsid w:val="00C74493"/>
    <w:rsid w:val="00C7621A"/>
    <w:rsid w:val="00C81CF7"/>
    <w:rsid w:val="00C820E6"/>
    <w:rsid w:val="00C8385B"/>
    <w:rsid w:val="00C83A07"/>
    <w:rsid w:val="00C86B20"/>
    <w:rsid w:val="00C87F30"/>
    <w:rsid w:val="00C908BC"/>
    <w:rsid w:val="00C9133E"/>
    <w:rsid w:val="00C93AE1"/>
    <w:rsid w:val="00C94831"/>
    <w:rsid w:val="00C953FB"/>
    <w:rsid w:val="00C95AFB"/>
    <w:rsid w:val="00C95E73"/>
    <w:rsid w:val="00C97619"/>
    <w:rsid w:val="00CA3E72"/>
    <w:rsid w:val="00CA45A1"/>
    <w:rsid w:val="00CA4DB2"/>
    <w:rsid w:val="00CA518F"/>
    <w:rsid w:val="00CA5350"/>
    <w:rsid w:val="00CA5B72"/>
    <w:rsid w:val="00CA5F43"/>
    <w:rsid w:val="00CA629A"/>
    <w:rsid w:val="00CA7574"/>
    <w:rsid w:val="00CA7D98"/>
    <w:rsid w:val="00CB009F"/>
    <w:rsid w:val="00CB2D61"/>
    <w:rsid w:val="00CB3D21"/>
    <w:rsid w:val="00CB6C6C"/>
    <w:rsid w:val="00CB76B8"/>
    <w:rsid w:val="00CC12C7"/>
    <w:rsid w:val="00CC1C4C"/>
    <w:rsid w:val="00CC1FFC"/>
    <w:rsid w:val="00CC3740"/>
    <w:rsid w:val="00CC401E"/>
    <w:rsid w:val="00CC4A7A"/>
    <w:rsid w:val="00CC57D4"/>
    <w:rsid w:val="00CC5BD5"/>
    <w:rsid w:val="00CC64DD"/>
    <w:rsid w:val="00CC6681"/>
    <w:rsid w:val="00CC67C9"/>
    <w:rsid w:val="00CC7E97"/>
    <w:rsid w:val="00CD00F6"/>
    <w:rsid w:val="00CD2029"/>
    <w:rsid w:val="00CD3992"/>
    <w:rsid w:val="00CD3C14"/>
    <w:rsid w:val="00CD48E1"/>
    <w:rsid w:val="00CD4C4B"/>
    <w:rsid w:val="00CD5464"/>
    <w:rsid w:val="00CD5A23"/>
    <w:rsid w:val="00CD7386"/>
    <w:rsid w:val="00CD7555"/>
    <w:rsid w:val="00CD7608"/>
    <w:rsid w:val="00CD7DC8"/>
    <w:rsid w:val="00CD7F66"/>
    <w:rsid w:val="00CE3ECB"/>
    <w:rsid w:val="00CE4238"/>
    <w:rsid w:val="00CE5146"/>
    <w:rsid w:val="00CE5710"/>
    <w:rsid w:val="00CE5916"/>
    <w:rsid w:val="00CE5DC5"/>
    <w:rsid w:val="00CE6C75"/>
    <w:rsid w:val="00CF0F23"/>
    <w:rsid w:val="00CF1F19"/>
    <w:rsid w:val="00CF42E9"/>
    <w:rsid w:val="00CF5120"/>
    <w:rsid w:val="00CF5550"/>
    <w:rsid w:val="00CF6D7A"/>
    <w:rsid w:val="00D00EB3"/>
    <w:rsid w:val="00D00FEE"/>
    <w:rsid w:val="00D01135"/>
    <w:rsid w:val="00D0152F"/>
    <w:rsid w:val="00D016D3"/>
    <w:rsid w:val="00D01B89"/>
    <w:rsid w:val="00D03BAB"/>
    <w:rsid w:val="00D049F4"/>
    <w:rsid w:val="00D04BE5"/>
    <w:rsid w:val="00D05115"/>
    <w:rsid w:val="00D07335"/>
    <w:rsid w:val="00D1004B"/>
    <w:rsid w:val="00D1092A"/>
    <w:rsid w:val="00D11BCF"/>
    <w:rsid w:val="00D120DD"/>
    <w:rsid w:val="00D137A7"/>
    <w:rsid w:val="00D157E1"/>
    <w:rsid w:val="00D16432"/>
    <w:rsid w:val="00D16842"/>
    <w:rsid w:val="00D16F2F"/>
    <w:rsid w:val="00D17A75"/>
    <w:rsid w:val="00D20E4B"/>
    <w:rsid w:val="00D21ABE"/>
    <w:rsid w:val="00D2368C"/>
    <w:rsid w:val="00D23727"/>
    <w:rsid w:val="00D242D4"/>
    <w:rsid w:val="00D2467B"/>
    <w:rsid w:val="00D26C47"/>
    <w:rsid w:val="00D301E2"/>
    <w:rsid w:val="00D30455"/>
    <w:rsid w:val="00D30CF0"/>
    <w:rsid w:val="00D31B84"/>
    <w:rsid w:val="00D3337E"/>
    <w:rsid w:val="00D346E6"/>
    <w:rsid w:val="00D34FE2"/>
    <w:rsid w:val="00D3521F"/>
    <w:rsid w:val="00D36C7E"/>
    <w:rsid w:val="00D40383"/>
    <w:rsid w:val="00D4188F"/>
    <w:rsid w:val="00D44902"/>
    <w:rsid w:val="00D44994"/>
    <w:rsid w:val="00D4573D"/>
    <w:rsid w:val="00D47991"/>
    <w:rsid w:val="00D512C1"/>
    <w:rsid w:val="00D525B1"/>
    <w:rsid w:val="00D55BDA"/>
    <w:rsid w:val="00D560A5"/>
    <w:rsid w:val="00D6054B"/>
    <w:rsid w:val="00D61A69"/>
    <w:rsid w:val="00D62719"/>
    <w:rsid w:val="00D63084"/>
    <w:rsid w:val="00D630F0"/>
    <w:rsid w:val="00D6448E"/>
    <w:rsid w:val="00D64C63"/>
    <w:rsid w:val="00D66357"/>
    <w:rsid w:val="00D66684"/>
    <w:rsid w:val="00D6693D"/>
    <w:rsid w:val="00D7108A"/>
    <w:rsid w:val="00D7123F"/>
    <w:rsid w:val="00D715C7"/>
    <w:rsid w:val="00D729DC"/>
    <w:rsid w:val="00D72AA2"/>
    <w:rsid w:val="00D72CC3"/>
    <w:rsid w:val="00D749B4"/>
    <w:rsid w:val="00D75158"/>
    <w:rsid w:val="00D75496"/>
    <w:rsid w:val="00D764A2"/>
    <w:rsid w:val="00D766F1"/>
    <w:rsid w:val="00D76DE2"/>
    <w:rsid w:val="00D76EC3"/>
    <w:rsid w:val="00D76F7F"/>
    <w:rsid w:val="00D77FB3"/>
    <w:rsid w:val="00D8216F"/>
    <w:rsid w:val="00D83A03"/>
    <w:rsid w:val="00D84121"/>
    <w:rsid w:val="00D8500B"/>
    <w:rsid w:val="00D87442"/>
    <w:rsid w:val="00D91BDF"/>
    <w:rsid w:val="00D92A9E"/>
    <w:rsid w:val="00D92E72"/>
    <w:rsid w:val="00D92FC1"/>
    <w:rsid w:val="00D930D1"/>
    <w:rsid w:val="00D9334C"/>
    <w:rsid w:val="00D93DD9"/>
    <w:rsid w:val="00D94732"/>
    <w:rsid w:val="00D94987"/>
    <w:rsid w:val="00D9498B"/>
    <w:rsid w:val="00D953CB"/>
    <w:rsid w:val="00D97EE7"/>
    <w:rsid w:val="00DA218D"/>
    <w:rsid w:val="00DA2DA5"/>
    <w:rsid w:val="00DA3B5A"/>
    <w:rsid w:val="00DA3BD1"/>
    <w:rsid w:val="00DA41FE"/>
    <w:rsid w:val="00DA43C4"/>
    <w:rsid w:val="00DA466A"/>
    <w:rsid w:val="00DA5613"/>
    <w:rsid w:val="00DA5897"/>
    <w:rsid w:val="00DA58BE"/>
    <w:rsid w:val="00DA5EB4"/>
    <w:rsid w:val="00DB14D0"/>
    <w:rsid w:val="00DB1C5D"/>
    <w:rsid w:val="00DB36D7"/>
    <w:rsid w:val="00DB37AE"/>
    <w:rsid w:val="00DB482E"/>
    <w:rsid w:val="00DB5135"/>
    <w:rsid w:val="00DB56BA"/>
    <w:rsid w:val="00DB635B"/>
    <w:rsid w:val="00DC042B"/>
    <w:rsid w:val="00DC3560"/>
    <w:rsid w:val="00DC3658"/>
    <w:rsid w:val="00DC3B87"/>
    <w:rsid w:val="00DC3CB3"/>
    <w:rsid w:val="00DC4D87"/>
    <w:rsid w:val="00DC52B1"/>
    <w:rsid w:val="00DC67C3"/>
    <w:rsid w:val="00DC693A"/>
    <w:rsid w:val="00DD07AA"/>
    <w:rsid w:val="00DD0F75"/>
    <w:rsid w:val="00DD1DAB"/>
    <w:rsid w:val="00DD216B"/>
    <w:rsid w:val="00DD2F35"/>
    <w:rsid w:val="00DD5278"/>
    <w:rsid w:val="00DD641D"/>
    <w:rsid w:val="00DD7329"/>
    <w:rsid w:val="00DD73C2"/>
    <w:rsid w:val="00DE1EC3"/>
    <w:rsid w:val="00DE3561"/>
    <w:rsid w:val="00DE363B"/>
    <w:rsid w:val="00DE43EB"/>
    <w:rsid w:val="00DE602A"/>
    <w:rsid w:val="00DF055D"/>
    <w:rsid w:val="00DF0BF4"/>
    <w:rsid w:val="00DF1298"/>
    <w:rsid w:val="00DF1B26"/>
    <w:rsid w:val="00DF371C"/>
    <w:rsid w:val="00DF3BC2"/>
    <w:rsid w:val="00DF3EF2"/>
    <w:rsid w:val="00DF46EA"/>
    <w:rsid w:val="00DF5544"/>
    <w:rsid w:val="00DF71E8"/>
    <w:rsid w:val="00DF7703"/>
    <w:rsid w:val="00E011BD"/>
    <w:rsid w:val="00E01488"/>
    <w:rsid w:val="00E01A74"/>
    <w:rsid w:val="00E02A69"/>
    <w:rsid w:val="00E03AFF"/>
    <w:rsid w:val="00E04423"/>
    <w:rsid w:val="00E05BD1"/>
    <w:rsid w:val="00E07B91"/>
    <w:rsid w:val="00E12311"/>
    <w:rsid w:val="00E124D0"/>
    <w:rsid w:val="00E125AE"/>
    <w:rsid w:val="00E14034"/>
    <w:rsid w:val="00E1493B"/>
    <w:rsid w:val="00E14CC0"/>
    <w:rsid w:val="00E151D3"/>
    <w:rsid w:val="00E1649A"/>
    <w:rsid w:val="00E164B3"/>
    <w:rsid w:val="00E17F9F"/>
    <w:rsid w:val="00E209F5"/>
    <w:rsid w:val="00E2162E"/>
    <w:rsid w:val="00E22A93"/>
    <w:rsid w:val="00E247A3"/>
    <w:rsid w:val="00E247AD"/>
    <w:rsid w:val="00E24FB8"/>
    <w:rsid w:val="00E25967"/>
    <w:rsid w:val="00E26826"/>
    <w:rsid w:val="00E3039F"/>
    <w:rsid w:val="00E30B1F"/>
    <w:rsid w:val="00E3127A"/>
    <w:rsid w:val="00E32381"/>
    <w:rsid w:val="00E3302A"/>
    <w:rsid w:val="00E33B94"/>
    <w:rsid w:val="00E34AFB"/>
    <w:rsid w:val="00E34C28"/>
    <w:rsid w:val="00E34D05"/>
    <w:rsid w:val="00E368B5"/>
    <w:rsid w:val="00E36980"/>
    <w:rsid w:val="00E36C2B"/>
    <w:rsid w:val="00E36D20"/>
    <w:rsid w:val="00E373CD"/>
    <w:rsid w:val="00E37A84"/>
    <w:rsid w:val="00E40002"/>
    <w:rsid w:val="00E41021"/>
    <w:rsid w:val="00E417AB"/>
    <w:rsid w:val="00E439DB"/>
    <w:rsid w:val="00E44267"/>
    <w:rsid w:val="00E44615"/>
    <w:rsid w:val="00E46BD7"/>
    <w:rsid w:val="00E50EFA"/>
    <w:rsid w:val="00E5119B"/>
    <w:rsid w:val="00E515D1"/>
    <w:rsid w:val="00E51BBE"/>
    <w:rsid w:val="00E52B23"/>
    <w:rsid w:val="00E54187"/>
    <w:rsid w:val="00E559D5"/>
    <w:rsid w:val="00E60335"/>
    <w:rsid w:val="00E60D27"/>
    <w:rsid w:val="00E61E36"/>
    <w:rsid w:val="00E61FE5"/>
    <w:rsid w:val="00E6275E"/>
    <w:rsid w:val="00E643EF"/>
    <w:rsid w:val="00E6491C"/>
    <w:rsid w:val="00E679DF"/>
    <w:rsid w:val="00E70E00"/>
    <w:rsid w:val="00E71852"/>
    <w:rsid w:val="00E718E0"/>
    <w:rsid w:val="00E71D71"/>
    <w:rsid w:val="00E723D6"/>
    <w:rsid w:val="00E72CF7"/>
    <w:rsid w:val="00E73219"/>
    <w:rsid w:val="00E751C0"/>
    <w:rsid w:val="00E756BA"/>
    <w:rsid w:val="00E75B4F"/>
    <w:rsid w:val="00E80399"/>
    <w:rsid w:val="00E841F1"/>
    <w:rsid w:val="00E85CEC"/>
    <w:rsid w:val="00E87DBF"/>
    <w:rsid w:val="00E91672"/>
    <w:rsid w:val="00E92F60"/>
    <w:rsid w:val="00E93745"/>
    <w:rsid w:val="00E93BB8"/>
    <w:rsid w:val="00E96BDC"/>
    <w:rsid w:val="00E96C39"/>
    <w:rsid w:val="00E97D78"/>
    <w:rsid w:val="00EA09C5"/>
    <w:rsid w:val="00EA2C41"/>
    <w:rsid w:val="00EA2E5C"/>
    <w:rsid w:val="00EA4582"/>
    <w:rsid w:val="00EA5272"/>
    <w:rsid w:val="00EA7351"/>
    <w:rsid w:val="00EA7707"/>
    <w:rsid w:val="00EB019F"/>
    <w:rsid w:val="00EB200D"/>
    <w:rsid w:val="00EB334B"/>
    <w:rsid w:val="00EB33A6"/>
    <w:rsid w:val="00EB539C"/>
    <w:rsid w:val="00EB610E"/>
    <w:rsid w:val="00EB6635"/>
    <w:rsid w:val="00EB705F"/>
    <w:rsid w:val="00EB7192"/>
    <w:rsid w:val="00EC1880"/>
    <w:rsid w:val="00EC4F74"/>
    <w:rsid w:val="00EC55C9"/>
    <w:rsid w:val="00EC5935"/>
    <w:rsid w:val="00EC5985"/>
    <w:rsid w:val="00EC6002"/>
    <w:rsid w:val="00EC6513"/>
    <w:rsid w:val="00ED0DAF"/>
    <w:rsid w:val="00ED32FD"/>
    <w:rsid w:val="00ED40C4"/>
    <w:rsid w:val="00ED70C7"/>
    <w:rsid w:val="00ED7B81"/>
    <w:rsid w:val="00EE0515"/>
    <w:rsid w:val="00EE1C35"/>
    <w:rsid w:val="00EE2807"/>
    <w:rsid w:val="00EE2C6B"/>
    <w:rsid w:val="00EE36AA"/>
    <w:rsid w:val="00EE51E0"/>
    <w:rsid w:val="00EE5293"/>
    <w:rsid w:val="00EE547F"/>
    <w:rsid w:val="00EE5EF1"/>
    <w:rsid w:val="00EE74DE"/>
    <w:rsid w:val="00EF298E"/>
    <w:rsid w:val="00EF570B"/>
    <w:rsid w:val="00EF5799"/>
    <w:rsid w:val="00F0012E"/>
    <w:rsid w:val="00F01D68"/>
    <w:rsid w:val="00F01FCB"/>
    <w:rsid w:val="00F02EF3"/>
    <w:rsid w:val="00F030C5"/>
    <w:rsid w:val="00F038D6"/>
    <w:rsid w:val="00F04E0A"/>
    <w:rsid w:val="00F05549"/>
    <w:rsid w:val="00F05CB7"/>
    <w:rsid w:val="00F05DEC"/>
    <w:rsid w:val="00F064EA"/>
    <w:rsid w:val="00F06F58"/>
    <w:rsid w:val="00F07D61"/>
    <w:rsid w:val="00F10D23"/>
    <w:rsid w:val="00F116A9"/>
    <w:rsid w:val="00F11C17"/>
    <w:rsid w:val="00F1305C"/>
    <w:rsid w:val="00F13D71"/>
    <w:rsid w:val="00F13F47"/>
    <w:rsid w:val="00F159BB"/>
    <w:rsid w:val="00F15EC1"/>
    <w:rsid w:val="00F173AD"/>
    <w:rsid w:val="00F17C5E"/>
    <w:rsid w:val="00F20A42"/>
    <w:rsid w:val="00F21333"/>
    <w:rsid w:val="00F21707"/>
    <w:rsid w:val="00F2283A"/>
    <w:rsid w:val="00F2431B"/>
    <w:rsid w:val="00F24E04"/>
    <w:rsid w:val="00F258C2"/>
    <w:rsid w:val="00F25A41"/>
    <w:rsid w:val="00F266A5"/>
    <w:rsid w:val="00F32206"/>
    <w:rsid w:val="00F3241C"/>
    <w:rsid w:val="00F330E4"/>
    <w:rsid w:val="00F34799"/>
    <w:rsid w:val="00F355AC"/>
    <w:rsid w:val="00F3589D"/>
    <w:rsid w:val="00F35942"/>
    <w:rsid w:val="00F359D4"/>
    <w:rsid w:val="00F364C8"/>
    <w:rsid w:val="00F4158E"/>
    <w:rsid w:val="00F42A10"/>
    <w:rsid w:val="00F42A29"/>
    <w:rsid w:val="00F45F49"/>
    <w:rsid w:val="00F4697A"/>
    <w:rsid w:val="00F478BD"/>
    <w:rsid w:val="00F50AD5"/>
    <w:rsid w:val="00F50F5F"/>
    <w:rsid w:val="00F52C3B"/>
    <w:rsid w:val="00F52DA3"/>
    <w:rsid w:val="00F52F2D"/>
    <w:rsid w:val="00F53078"/>
    <w:rsid w:val="00F54A01"/>
    <w:rsid w:val="00F55029"/>
    <w:rsid w:val="00F55A82"/>
    <w:rsid w:val="00F5751C"/>
    <w:rsid w:val="00F57551"/>
    <w:rsid w:val="00F62700"/>
    <w:rsid w:val="00F62FF5"/>
    <w:rsid w:val="00F6301D"/>
    <w:rsid w:val="00F63A2C"/>
    <w:rsid w:val="00F63C49"/>
    <w:rsid w:val="00F653AC"/>
    <w:rsid w:val="00F7148B"/>
    <w:rsid w:val="00F714C3"/>
    <w:rsid w:val="00F71EAA"/>
    <w:rsid w:val="00F7216A"/>
    <w:rsid w:val="00F73D6D"/>
    <w:rsid w:val="00F74728"/>
    <w:rsid w:val="00F74DFC"/>
    <w:rsid w:val="00F74EAD"/>
    <w:rsid w:val="00F753F8"/>
    <w:rsid w:val="00F77947"/>
    <w:rsid w:val="00F779D8"/>
    <w:rsid w:val="00F77DCE"/>
    <w:rsid w:val="00F8233A"/>
    <w:rsid w:val="00F839DE"/>
    <w:rsid w:val="00F83A0E"/>
    <w:rsid w:val="00F8410A"/>
    <w:rsid w:val="00F855A8"/>
    <w:rsid w:val="00F91A42"/>
    <w:rsid w:val="00F934CD"/>
    <w:rsid w:val="00F9397C"/>
    <w:rsid w:val="00F93A22"/>
    <w:rsid w:val="00F94783"/>
    <w:rsid w:val="00F952F7"/>
    <w:rsid w:val="00F95804"/>
    <w:rsid w:val="00F95A5F"/>
    <w:rsid w:val="00F95E25"/>
    <w:rsid w:val="00F96A0F"/>
    <w:rsid w:val="00F96ADB"/>
    <w:rsid w:val="00FA2B29"/>
    <w:rsid w:val="00FA2DEE"/>
    <w:rsid w:val="00FA48FF"/>
    <w:rsid w:val="00FA5A46"/>
    <w:rsid w:val="00FA5BE9"/>
    <w:rsid w:val="00FA67BD"/>
    <w:rsid w:val="00FA6A96"/>
    <w:rsid w:val="00FA7C9C"/>
    <w:rsid w:val="00FB1D60"/>
    <w:rsid w:val="00FB2968"/>
    <w:rsid w:val="00FB5608"/>
    <w:rsid w:val="00FB669C"/>
    <w:rsid w:val="00FC05F3"/>
    <w:rsid w:val="00FC11EF"/>
    <w:rsid w:val="00FC1C90"/>
    <w:rsid w:val="00FC36CC"/>
    <w:rsid w:val="00FC3FB8"/>
    <w:rsid w:val="00FC4CF7"/>
    <w:rsid w:val="00FC53B8"/>
    <w:rsid w:val="00FC626D"/>
    <w:rsid w:val="00FC744F"/>
    <w:rsid w:val="00FD374C"/>
    <w:rsid w:val="00FD4070"/>
    <w:rsid w:val="00FD66D3"/>
    <w:rsid w:val="00FD6EEB"/>
    <w:rsid w:val="00FD79B4"/>
    <w:rsid w:val="00FD7B97"/>
    <w:rsid w:val="00FE0EE1"/>
    <w:rsid w:val="00FE158D"/>
    <w:rsid w:val="00FE1835"/>
    <w:rsid w:val="00FE2B20"/>
    <w:rsid w:val="00FE3709"/>
    <w:rsid w:val="00FE3A0C"/>
    <w:rsid w:val="00FE3E22"/>
    <w:rsid w:val="00FE40AE"/>
    <w:rsid w:val="00FE44C1"/>
    <w:rsid w:val="00FE53D4"/>
    <w:rsid w:val="00FE5ACA"/>
    <w:rsid w:val="00FE7C99"/>
    <w:rsid w:val="00FF1F9F"/>
    <w:rsid w:val="00FF1FEC"/>
    <w:rsid w:val="00FF2C76"/>
    <w:rsid w:val="00FF5164"/>
    <w:rsid w:val="00FF5968"/>
    <w:rsid w:val="00FF5AB5"/>
    <w:rsid w:val="00FF66B2"/>
    <w:rsid w:val="00FF6AAF"/>
    <w:rsid w:val="00FF7019"/>
    <w:rsid w:val="01082281"/>
    <w:rsid w:val="01195121"/>
    <w:rsid w:val="011959AD"/>
    <w:rsid w:val="011C24F3"/>
    <w:rsid w:val="012515C4"/>
    <w:rsid w:val="01281E47"/>
    <w:rsid w:val="01285818"/>
    <w:rsid w:val="012C6407"/>
    <w:rsid w:val="013629CF"/>
    <w:rsid w:val="014A2DD9"/>
    <w:rsid w:val="015E2B82"/>
    <w:rsid w:val="01623B7A"/>
    <w:rsid w:val="016C71F3"/>
    <w:rsid w:val="01787946"/>
    <w:rsid w:val="017D79FF"/>
    <w:rsid w:val="01923C64"/>
    <w:rsid w:val="019B2DA5"/>
    <w:rsid w:val="01C95207"/>
    <w:rsid w:val="01CC1217"/>
    <w:rsid w:val="01D468D3"/>
    <w:rsid w:val="01DA20AA"/>
    <w:rsid w:val="01E873B2"/>
    <w:rsid w:val="01F9035B"/>
    <w:rsid w:val="020123AA"/>
    <w:rsid w:val="02105DD0"/>
    <w:rsid w:val="021A03C0"/>
    <w:rsid w:val="02305AE3"/>
    <w:rsid w:val="02567262"/>
    <w:rsid w:val="025A1D7F"/>
    <w:rsid w:val="025A3F3F"/>
    <w:rsid w:val="0261662C"/>
    <w:rsid w:val="026D47B7"/>
    <w:rsid w:val="026D5ED6"/>
    <w:rsid w:val="027170F8"/>
    <w:rsid w:val="02747A63"/>
    <w:rsid w:val="027906B3"/>
    <w:rsid w:val="02876E72"/>
    <w:rsid w:val="029E2280"/>
    <w:rsid w:val="029E5B41"/>
    <w:rsid w:val="02A76009"/>
    <w:rsid w:val="02BA5D3C"/>
    <w:rsid w:val="02CD5A6F"/>
    <w:rsid w:val="02D166BB"/>
    <w:rsid w:val="02F474A0"/>
    <w:rsid w:val="02F53218"/>
    <w:rsid w:val="02FB3AC6"/>
    <w:rsid w:val="02FC45A7"/>
    <w:rsid w:val="030B6598"/>
    <w:rsid w:val="03110693"/>
    <w:rsid w:val="03256671"/>
    <w:rsid w:val="03373831"/>
    <w:rsid w:val="034D095E"/>
    <w:rsid w:val="035E4919"/>
    <w:rsid w:val="036D039A"/>
    <w:rsid w:val="037472F8"/>
    <w:rsid w:val="0376626F"/>
    <w:rsid w:val="037739FF"/>
    <w:rsid w:val="037B54CB"/>
    <w:rsid w:val="038F25E1"/>
    <w:rsid w:val="03936CB9"/>
    <w:rsid w:val="03AB203D"/>
    <w:rsid w:val="03B7227C"/>
    <w:rsid w:val="03DA2C38"/>
    <w:rsid w:val="03DB3B26"/>
    <w:rsid w:val="03EE3EEF"/>
    <w:rsid w:val="03F86B1C"/>
    <w:rsid w:val="042711AF"/>
    <w:rsid w:val="043318B7"/>
    <w:rsid w:val="04552DBC"/>
    <w:rsid w:val="046B6419"/>
    <w:rsid w:val="0479513A"/>
    <w:rsid w:val="047A1C27"/>
    <w:rsid w:val="04815FBF"/>
    <w:rsid w:val="048748A1"/>
    <w:rsid w:val="048F651B"/>
    <w:rsid w:val="049009BE"/>
    <w:rsid w:val="049A7BD3"/>
    <w:rsid w:val="049E4736"/>
    <w:rsid w:val="04AA3A46"/>
    <w:rsid w:val="04D74983"/>
    <w:rsid w:val="04D805A4"/>
    <w:rsid w:val="04D806FC"/>
    <w:rsid w:val="04DC4690"/>
    <w:rsid w:val="04EB6681"/>
    <w:rsid w:val="050F05C1"/>
    <w:rsid w:val="0513158C"/>
    <w:rsid w:val="05215410"/>
    <w:rsid w:val="05522243"/>
    <w:rsid w:val="0559183C"/>
    <w:rsid w:val="055D167E"/>
    <w:rsid w:val="05604B07"/>
    <w:rsid w:val="057268FD"/>
    <w:rsid w:val="05746676"/>
    <w:rsid w:val="05834B0B"/>
    <w:rsid w:val="058A5E9A"/>
    <w:rsid w:val="05942874"/>
    <w:rsid w:val="059960DD"/>
    <w:rsid w:val="05B7054C"/>
    <w:rsid w:val="05BC67F3"/>
    <w:rsid w:val="05C70E9C"/>
    <w:rsid w:val="05DE61E6"/>
    <w:rsid w:val="05E2107F"/>
    <w:rsid w:val="05EF3F4F"/>
    <w:rsid w:val="05FC5B57"/>
    <w:rsid w:val="06007F0A"/>
    <w:rsid w:val="06012A80"/>
    <w:rsid w:val="06046B3C"/>
    <w:rsid w:val="060A0AE2"/>
    <w:rsid w:val="061E2623"/>
    <w:rsid w:val="06253E14"/>
    <w:rsid w:val="063C07B4"/>
    <w:rsid w:val="064216C6"/>
    <w:rsid w:val="06486FCA"/>
    <w:rsid w:val="064A0E0F"/>
    <w:rsid w:val="064E6EC7"/>
    <w:rsid w:val="064E7517"/>
    <w:rsid w:val="06585F98"/>
    <w:rsid w:val="06640E57"/>
    <w:rsid w:val="066F2FB3"/>
    <w:rsid w:val="066F6E3E"/>
    <w:rsid w:val="06705A5F"/>
    <w:rsid w:val="06A20D46"/>
    <w:rsid w:val="06AD62E4"/>
    <w:rsid w:val="06DE7834"/>
    <w:rsid w:val="06DF0467"/>
    <w:rsid w:val="06F832D7"/>
    <w:rsid w:val="071D2EA3"/>
    <w:rsid w:val="07293490"/>
    <w:rsid w:val="07377B21"/>
    <w:rsid w:val="074A1D85"/>
    <w:rsid w:val="074F0F1E"/>
    <w:rsid w:val="07554285"/>
    <w:rsid w:val="07577FFE"/>
    <w:rsid w:val="07593D76"/>
    <w:rsid w:val="075B5D40"/>
    <w:rsid w:val="0764271A"/>
    <w:rsid w:val="07841061"/>
    <w:rsid w:val="078F309C"/>
    <w:rsid w:val="07A656A9"/>
    <w:rsid w:val="07C94DF8"/>
    <w:rsid w:val="07CA4C73"/>
    <w:rsid w:val="07DB45A4"/>
    <w:rsid w:val="07DD0020"/>
    <w:rsid w:val="07DE427B"/>
    <w:rsid w:val="07E06245"/>
    <w:rsid w:val="07E70D4B"/>
    <w:rsid w:val="07EB3D3D"/>
    <w:rsid w:val="07F62790"/>
    <w:rsid w:val="07FB2B62"/>
    <w:rsid w:val="080335A2"/>
    <w:rsid w:val="080B044A"/>
    <w:rsid w:val="08161001"/>
    <w:rsid w:val="081C4DA3"/>
    <w:rsid w:val="082E5202"/>
    <w:rsid w:val="083D3697"/>
    <w:rsid w:val="08422A5C"/>
    <w:rsid w:val="08485B98"/>
    <w:rsid w:val="084F33CB"/>
    <w:rsid w:val="08591B53"/>
    <w:rsid w:val="085C1E9A"/>
    <w:rsid w:val="085E740E"/>
    <w:rsid w:val="086C2AB7"/>
    <w:rsid w:val="0870481F"/>
    <w:rsid w:val="087D7C96"/>
    <w:rsid w:val="08851FE1"/>
    <w:rsid w:val="089808CE"/>
    <w:rsid w:val="08A515BF"/>
    <w:rsid w:val="08BD1460"/>
    <w:rsid w:val="08CD789A"/>
    <w:rsid w:val="08EA41E4"/>
    <w:rsid w:val="08EF4003"/>
    <w:rsid w:val="08FA1588"/>
    <w:rsid w:val="090369F3"/>
    <w:rsid w:val="09104D6E"/>
    <w:rsid w:val="09111299"/>
    <w:rsid w:val="09290F05"/>
    <w:rsid w:val="092A7A16"/>
    <w:rsid w:val="09363922"/>
    <w:rsid w:val="094763B9"/>
    <w:rsid w:val="0948668A"/>
    <w:rsid w:val="094B3B92"/>
    <w:rsid w:val="09795092"/>
    <w:rsid w:val="097B7F5E"/>
    <w:rsid w:val="097C01EF"/>
    <w:rsid w:val="098160DB"/>
    <w:rsid w:val="098877BE"/>
    <w:rsid w:val="098B0432"/>
    <w:rsid w:val="099836F2"/>
    <w:rsid w:val="09B23A3C"/>
    <w:rsid w:val="09B31C71"/>
    <w:rsid w:val="09B331A8"/>
    <w:rsid w:val="09BE25B6"/>
    <w:rsid w:val="09BE3A0C"/>
    <w:rsid w:val="09C06A27"/>
    <w:rsid w:val="09EB6775"/>
    <w:rsid w:val="09EC107C"/>
    <w:rsid w:val="09FB1114"/>
    <w:rsid w:val="0A1A0624"/>
    <w:rsid w:val="0A2F7010"/>
    <w:rsid w:val="0A357927"/>
    <w:rsid w:val="0A4303FC"/>
    <w:rsid w:val="0A4703B1"/>
    <w:rsid w:val="0A4C1970"/>
    <w:rsid w:val="0A5627EE"/>
    <w:rsid w:val="0A5B02AD"/>
    <w:rsid w:val="0A5C1119"/>
    <w:rsid w:val="0A6E79D9"/>
    <w:rsid w:val="0A735F3E"/>
    <w:rsid w:val="0A7F0D32"/>
    <w:rsid w:val="0A80786B"/>
    <w:rsid w:val="0A8600DB"/>
    <w:rsid w:val="0AA417AC"/>
    <w:rsid w:val="0AA51080"/>
    <w:rsid w:val="0AAE43D8"/>
    <w:rsid w:val="0AC36BB7"/>
    <w:rsid w:val="0AC51722"/>
    <w:rsid w:val="0AC97464"/>
    <w:rsid w:val="0AD5584D"/>
    <w:rsid w:val="0AE460FA"/>
    <w:rsid w:val="0AE6738A"/>
    <w:rsid w:val="0AE86777"/>
    <w:rsid w:val="0AEF6F21"/>
    <w:rsid w:val="0AF049F1"/>
    <w:rsid w:val="0AFB2E7F"/>
    <w:rsid w:val="0B146D5D"/>
    <w:rsid w:val="0B257439"/>
    <w:rsid w:val="0B446AEB"/>
    <w:rsid w:val="0B4765DB"/>
    <w:rsid w:val="0B476BE6"/>
    <w:rsid w:val="0B56349A"/>
    <w:rsid w:val="0B590D5D"/>
    <w:rsid w:val="0B80578D"/>
    <w:rsid w:val="0B8C3FEE"/>
    <w:rsid w:val="0BA06DCC"/>
    <w:rsid w:val="0BA13F3D"/>
    <w:rsid w:val="0BA54935"/>
    <w:rsid w:val="0BC63362"/>
    <w:rsid w:val="0BDF7D86"/>
    <w:rsid w:val="0BE1258C"/>
    <w:rsid w:val="0BED2CDE"/>
    <w:rsid w:val="0BF027CF"/>
    <w:rsid w:val="0BF30FFB"/>
    <w:rsid w:val="0BF422BF"/>
    <w:rsid w:val="0BF56816"/>
    <w:rsid w:val="0BF71E6B"/>
    <w:rsid w:val="0C000C64"/>
    <w:rsid w:val="0C126BD3"/>
    <w:rsid w:val="0C14470F"/>
    <w:rsid w:val="0C20041C"/>
    <w:rsid w:val="0C37664F"/>
    <w:rsid w:val="0C3D1EB8"/>
    <w:rsid w:val="0C3F70ED"/>
    <w:rsid w:val="0C6311F3"/>
    <w:rsid w:val="0C6A432F"/>
    <w:rsid w:val="0C743400"/>
    <w:rsid w:val="0C7B4AD8"/>
    <w:rsid w:val="0C7F6B54"/>
    <w:rsid w:val="0C8F1FE8"/>
    <w:rsid w:val="0C9208D5"/>
    <w:rsid w:val="0C953559"/>
    <w:rsid w:val="0C994F3A"/>
    <w:rsid w:val="0CA710DF"/>
    <w:rsid w:val="0CB42CD5"/>
    <w:rsid w:val="0CBA3508"/>
    <w:rsid w:val="0CC9374C"/>
    <w:rsid w:val="0CDB31C5"/>
    <w:rsid w:val="0CE326A9"/>
    <w:rsid w:val="0CEA53B1"/>
    <w:rsid w:val="0CF54541"/>
    <w:rsid w:val="0CF87B8D"/>
    <w:rsid w:val="0D064E5E"/>
    <w:rsid w:val="0D226FFC"/>
    <w:rsid w:val="0D2729F3"/>
    <w:rsid w:val="0D350DE1"/>
    <w:rsid w:val="0D352B8F"/>
    <w:rsid w:val="0D401D9F"/>
    <w:rsid w:val="0D442707"/>
    <w:rsid w:val="0D496AEE"/>
    <w:rsid w:val="0D5079C9"/>
    <w:rsid w:val="0D5B25D0"/>
    <w:rsid w:val="0D8B27AF"/>
    <w:rsid w:val="0DA33F9D"/>
    <w:rsid w:val="0DAD0033"/>
    <w:rsid w:val="0DB02216"/>
    <w:rsid w:val="0DD8176C"/>
    <w:rsid w:val="0DEF2644"/>
    <w:rsid w:val="0DF540CC"/>
    <w:rsid w:val="0E007DDE"/>
    <w:rsid w:val="0E1F77E4"/>
    <w:rsid w:val="0E221883"/>
    <w:rsid w:val="0E2668FC"/>
    <w:rsid w:val="0E2A021A"/>
    <w:rsid w:val="0E2A67ED"/>
    <w:rsid w:val="0E38608B"/>
    <w:rsid w:val="0E39220B"/>
    <w:rsid w:val="0E4D4540"/>
    <w:rsid w:val="0E4F5940"/>
    <w:rsid w:val="0E5232CD"/>
    <w:rsid w:val="0E555BA1"/>
    <w:rsid w:val="0E6B6EBE"/>
    <w:rsid w:val="0E72396F"/>
    <w:rsid w:val="0E7771D7"/>
    <w:rsid w:val="0E8D06FC"/>
    <w:rsid w:val="0E9321EB"/>
    <w:rsid w:val="0E9A16AD"/>
    <w:rsid w:val="0E9B42D5"/>
    <w:rsid w:val="0EA85261"/>
    <w:rsid w:val="0EA92397"/>
    <w:rsid w:val="0EC57F43"/>
    <w:rsid w:val="0ECD529A"/>
    <w:rsid w:val="0ED463D8"/>
    <w:rsid w:val="0ED721FE"/>
    <w:rsid w:val="0EDB1514"/>
    <w:rsid w:val="0EDB1768"/>
    <w:rsid w:val="0EF34AB0"/>
    <w:rsid w:val="0EF95C77"/>
    <w:rsid w:val="0F0740B7"/>
    <w:rsid w:val="0F24711D"/>
    <w:rsid w:val="0F304DD1"/>
    <w:rsid w:val="0F3B3B23"/>
    <w:rsid w:val="0F400DA2"/>
    <w:rsid w:val="0F492922"/>
    <w:rsid w:val="0F7244C4"/>
    <w:rsid w:val="0F792CAA"/>
    <w:rsid w:val="0F824086"/>
    <w:rsid w:val="0F8665F5"/>
    <w:rsid w:val="0FAE09D7"/>
    <w:rsid w:val="0FAE6C29"/>
    <w:rsid w:val="0FBB7F44"/>
    <w:rsid w:val="0FDC1DCA"/>
    <w:rsid w:val="0FE571B5"/>
    <w:rsid w:val="0FE90846"/>
    <w:rsid w:val="0FF24EC6"/>
    <w:rsid w:val="0FF8154C"/>
    <w:rsid w:val="0FFA1E6E"/>
    <w:rsid w:val="10091C47"/>
    <w:rsid w:val="101B791F"/>
    <w:rsid w:val="10201E04"/>
    <w:rsid w:val="103709CC"/>
    <w:rsid w:val="10545A22"/>
    <w:rsid w:val="10581C8A"/>
    <w:rsid w:val="10647844"/>
    <w:rsid w:val="10741C20"/>
    <w:rsid w:val="107D62F3"/>
    <w:rsid w:val="10866A02"/>
    <w:rsid w:val="10893A12"/>
    <w:rsid w:val="10AA5642"/>
    <w:rsid w:val="10B6717E"/>
    <w:rsid w:val="10B959E3"/>
    <w:rsid w:val="10CE1396"/>
    <w:rsid w:val="10EA0134"/>
    <w:rsid w:val="10FB122D"/>
    <w:rsid w:val="10FC5772"/>
    <w:rsid w:val="110561E3"/>
    <w:rsid w:val="110625F7"/>
    <w:rsid w:val="110A60E1"/>
    <w:rsid w:val="111022AF"/>
    <w:rsid w:val="11124F95"/>
    <w:rsid w:val="111807FE"/>
    <w:rsid w:val="111A1CA0"/>
    <w:rsid w:val="112E0459"/>
    <w:rsid w:val="11511F61"/>
    <w:rsid w:val="11643A43"/>
    <w:rsid w:val="116626B9"/>
    <w:rsid w:val="1168783A"/>
    <w:rsid w:val="11696863"/>
    <w:rsid w:val="1174423F"/>
    <w:rsid w:val="11744D91"/>
    <w:rsid w:val="11751BD1"/>
    <w:rsid w:val="117556CB"/>
    <w:rsid w:val="117D68B3"/>
    <w:rsid w:val="11816530"/>
    <w:rsid w:val="11884760"/>
    <w:rsid w:val="118A0FD0"/>
    <w:rsid w:val="118A126C"/>
    <w:rsid w:val="11963E18"/>
    <w:rsid w:val="119F757B"/>
    <w:rsid w:val="11BA7C06"/>
    <w:rsid w:val="11C73FD2"/>
    <w:rsid w:val="11D63897"/>
    <w:rsid w:val="11DD55A3"/>
    <w:rsid w:val="11E00A65"/>
    <w:rsid w:val="11E04B09"/>
    <w:rsid w:val="11ED5CE9"/>
    <w:rsid w:val="11F8418B"/>
    <w:rsid w:val="120174E4"/>
    <w:rsid w:val="12152FD8"/>
    <w:rsid w:val="12217B86"/>
    <w:rsid w:val="1222745A"/>
    <w:rsid w:val="12246D0B"/>
    <w:rsid w:val="122525BE"/>
    <w:rsid w:val="12704669"/>
    <w:rsid w:val="12705D8B"/>
    <w:rsid w:val="127759F8"/>
    <w:rsid w:val="12837EF9"/>
    <w:rsid w:val="129205B2"/>
    <w:rsid w:val="12960EAD"/>
    <w:rsid w:val="129A5F2E"/>
    <w:rsid w:val="129B030F"/>
    <w:rsid w:val="12A04F4F"/>
    <w:rsid w:val="12A544EA"/>
    <w:rsid w:val="12A5701C"/>
    <w:rsid w:val="12A762DD"/>
    <w:rsid w:val="12B714E3"/>
    <w:rsid w:val="12BA5ACF"/>
    <w:rsid w:val="12C47099"/>
    <w:rsid w:val="12C86AF6"/>
    <w:rsid w:val="12CF75E2"/>
    <w:rsid w:val="12E070F9"/>
    <w:rsid w:val="13040F8F"/>
    <w:rsid w:val="132427F6"/>
    <w:rsid w:val="13312778"/>
    <w:rsid w:val="133236CD"/>
    <w:rsid w:val="13373653"/>
    <w:rsid w:val="134A0A16"/>
    <w:rsid w:val="1360023A"/>
    <w:rsid w:val="1361772B"/>
    <w:rsid w:val="13637D2A"/>
    <w:rsid w:val="137062AB"/>
    <w:rsid w:val="13A50BA6"/>
    <w:rsid w:val="13A9398F"/>
    <w:rsid w:val="13AB626E"/>
    <w:rsid w:val="13BE74A3"/>
    <w:rsid w:val="13CC3B21"/>
    <w:rsid w:val="13DA2FCD"/>
    <w:rsid w:val="13E05DCA"/>
    <w:rsid w:val="13F76DF0"/>
    <w:rsid w:val="140908D1"/>
    <w:rsid w:val="141259D8"/>
    <w:rsid w:val="141D738D"/>
    <w:rsid w:val="14207E21"/>
    <w:rsid w:val="142C526D"/>
    <w:rsid w:val="14403026"/>
    <w:rsid w:val="144243E8"/>
    <w:rsid w:val="144813FA"/>
    <w:rsid w:val="144C1414"/>
    <w:rsid w:val="144D4C62"/>
    <w:rsid w:val="14587163"/>
    <w:rsid w:val="146F0097"/>
    <w:rsid w:val="148D32B1"/>
    <w:rsid w:val="149D3CB2"/>
    <w:rsid w:val="14A21A9F"/>
    <w:rsid w:val="14A31264"/>
    <w:rsid w:val="14CF4FA3"/>
    <w:rsid w:val="14E2694B"/>
    <w:rsid w:val="14FC0436"/>
    <w:rsid w:val="15000209"/>
    <w:rsid w:val="15050078"/>
    <w:rsid w:val="15086F25"/>
    <w:rsid w:val="151721EB"/>
    <w:rsid w:val="152E345B"/>
    <w:rsid w:val="15410694"/>
    <w:rsid w:val="154F6401"/>
    <w:rsid w:val="154F67B8"/>
    <w:rsid w:val="15537304"/>
    <w:rsid w:val="15557ACD"/>
    <w:rsid w:val="1557566D"/>
    <w:rsid w:val="15580358"/>
    <w:rsid w:val="155A4DE7"/>
    <w:rsid w:val="15603A94"/>
    <w:rsid w:val="156404B5"/>
    <w:rsid w:val="156E30E2"/>
    <w:rsid w:val="15863F86"/>
    <w:rsid w:val="158C17BA"/>
    <w:rsid w:val="15A55539"/>
    <w:rsid w:val="15A802CC"/>
    <w:rsid w:val="15AC7766"/>
    <w:rsid w:val="15AF1BFE"/>
    <w:rsid w:val="15B253C2"/>
    <w:rsid w:val="15CB35EE"/>
    <w:rsid w:val="15D2312F"/>
    <w:rsid w:val="15D942D4"/>
    <w:rsid w:val="15DD0268"/>
    <w:rsid w:val="15DD3DC4"/>
    <w:rsid w:val="15DE680C"/>
    <w:rsid w:val="15EB4733"/>
    <w:rsid w:val="15F71D6B"/>
    <w:rsid w:val="15FF01DE"/>
    <w:rsid w:val="16041283"/>
    <w:rsid w:val="16184DFC"/>
    <w:rsid w:val="161A39D5"/>
    <w:rsid w:val="16210154"/>
    <w:rsid w:val="162437A1"/>
    <w:rsid w:val="1635775C"/>
    <w:rsid w:val="1638549E"/>
    <w:rsid w:val="16520ECB"/>
    <w:rsid w:val="16551BAC"/>
    <w:rsid w:val="16864176"/>
    <w:rsid w:val="1686445B"/>
    <w:rsid w:val="16905610"/>
    <w:rsid w:val="169237EC"/>
    <w:rsid w:val="16985528"/>
    <w:rsid w:val="169F551D"/>
    <w:rsid w:val="16AD1682"/>
    <w:rsid w:val="16B6245F"/>
    <w:rsid w:val="16BA5DAD"/>
    <w:rsid w:val="16C1557E"/>
    <w:rsid w:val="16D2144F"/>
    <w:rsid w:val="16ED0036"/>
    <w:rsid w:val="16F033AD"/>
    <w:rsid w:val="16F21AF1"/>
    <w:rsid w:val="16F44C74"/>
    <w:rsid w:val="16FC64CC"/>
    <w:rsid w:val="170030F8"/>
    <w:rsid w:val="17055E1D"/>
    <w:rsid w:val="170D06D9"/>
    <w:rsid w:val="17173305"/>
    <w:rsid w:val="171F5C83"/>
    <w:rsid w:val="17215F32"/>
    <w:rsid w:val="17253937"/>
    <w:rsid w:val="17343EB7"/>
    <w:rsid w:val="17375756"/>
    <w:rsid w:val="174E6F1F"/>
    <w:rsid w:val="175932C8"/>
    <w:rsid w:val="178F10EE"/>
    <w:rsid w:val="17994C66"/>
    <w:rsid w:val="17AA5A86"/>
    <w:rsid w:val="17BE19D3"/>
    <w:rsid w:val="17D42538"/>
    <w:rsid w:val="180A2908"/>
    <w:rsid w:val="18137F71"/>
    <w:rsid w:val="181A0146"/>
    <w:rsid w:val="18240EDE"/>
    <w:rsid w:val="182940F3"/>
    <w:rsid w:val="183A4A8E"/>
    <w:rsid w:val="18716A45"/>
    <w:rsid w:val="18817DA0"/>
    <w:rsid w:val="1887110A"/>
    <w:rsid w:val="18876269"/>
    <w:rsid w:val="189108E9"/>
    <w:rsid w:val="18910E95"/>
    <w:rsid w:val="18956BD8"/>
    <w:rsid w:val="189E5AFE"/>
    <w:rsid w:val="18CA6696"/>
    <w:rsid w:val="18F00D6E"/>
    <w:rsid w:val="18F75DFC"/>
    <w:rsid w:val="19017DC9"/>
    <w:rsid w:val="19024052"/>
    <w:rsid w:val="191324C5"/>
    <w:rsid w:val="19202945"/>
    <w:rsid w:val="19212219"/>
    <w:rsid w:val="19254F83"/>
    <w:rsid w:val="19267830"/>
    <w:rsid w:val="1932769B"/>
    <w:rsid w:val="19371A3D"/>
    <w:rsid w:val="193C34F7"/>
    <w:rsid w:val="19442E29"/>
    <w:rsid w:val="195B1BCF"/>
    <w:rsid w:val="1961332A"/>
    <w:rsid w:val="1971610B"/>
    <w:rsid w:val="197639DB"/>
    <w:rsid w:val="19794F42"/>
    <w:rsid w:val="197B401F"/>
    <w:rsid w:val="197B5805"/>
    <w:rsid w:val="19834C82"/>
    <w:rsid w:val="198D48BD"/>
    <w:rsid w:val="19A846E9"/>
    <w:rsid w:val="19AD094B"/>
    <w:rsid w:val="19CF6119"/>
    <w:rsid w:val="19EC45DA"/>
    <w:rsid w:val="19FF5E4F"/>
    <w:rsid w:val="1A02182A"/>
    <w:rsid w:val="1A066072"/>
    <w:rsid w:val="1A1A3838"/>
    <w:rsid w:val="1A1D50D7"/>
    <w:rsid w:val="1A2C70C8"/>
    <w:rsid w:val="1A2D7EF5"/>
    <w:rsid w:val="1A3B555D"/>
    <w:rsid w:val="1A426088"/>
    <w:rsid w:val="1A641C77"/>
    <w:rsid w:val="1A6E153E"/>
    <w:rsid w:val="1A6F016E"/>
    <w:rsid w:val="1A7867B1"/>
    <w:rsid w:val="1A8D618B"/>
    <w:rsid w:val="1A930EF5"/>
    <w:rsid w:val="1A947DA2"/>
    <w:rsid w:val="1A965070"/>
    <w:rsid w:val="1A98650B"/>
    <w:rsid w:val="1AA81F13"/>
    <w:rsid w:val="1AAE3F81"/>
    <w:rsid w:val="1AB44C3E"/>
    <w:rsid w:val="1AB56AD0"/>
    <w:rsid w:val="1ABA2925"/>
    <w:rsid w:val="1AC51DF0"/>
    <w:rsid w:val="1ADF1467"/>
    <w:rsid w:val="1B0B3181"/>
    <w:rsid w:val="1B0D75A0"/>
    <w:rsid w:val="1B2129A5"/>
    <w:rsid w:val="1B256F50"/>
    <w:rsid w:val="1B267FBB"/>
    <w:rsid w:val="1B270B80"/>
    <w:rsid w:val="1B2A7AAB"/>
    <w:rsid w:val="1B5239A9"/>
    <w:rsid w:val="1B56026F"/>
    <w:rsid w:val="1B723200"/>
    <w:rsid w:val="1B8241EC"/>
    <w:rsid w:val="1B867D4B"/>
    <w:rsid w:val="1B9C64CF"/>
    <w:rsid w:val="1BA809D0"/>
    <w:rsid w:val="1BC81072"/>
    <w:rsid w:val="1BD4717A"/>
    <w:rsid w:val="1BE73A06"/>
    <w:rsid w:val="1BEA0FE8"/>
    <w:rsid w:val="1C0741AF"/>
    <w:rsid w:val="1C0E2F29"/>
    <w:rsid w:val="1C27223D"/>
    <w:rsid w:val="1C2A6008"/>
    <w:rsid w:val="1C2C33AF"/>
    <w:rsid w:val="1C2F4C4D"/>
    <w:rsid w:val="1C392325"/>
    <w:rsid w:val="1C4034E9"/>
    <w:rsid w:val="1C424981"/>
    <w:rsid w:val="1C4C3A51"/>
    <w:rsid w:val="1C5D0DEA"/>
    <w:rsid w:val="1C5E7E41"/>
    <w:rsid w:val="1C7F3E27"/>
    <w:rsid w:val="1C8409D2"/>
    <w:rsid w:val="1C8431EB"/>
    <w:rsid w:val="1C9F5E1A"/>
    <w:rsid w:val="1CB17D58"/>
    <w:rsid w:val="1CB84431"/>
    <w:rsid w:val="1CBF30D9"/>
    <w:rsid w:val="1CC80BC1"/>
    <w:rsid w:val="1CD04C8C"/>
    <w:rsid w:val="1CDA4112"/>
    <w:rsid w:val="1CDB6B83"/>
    <w:rsid w:val="1CDD439B"/>
    <w:rsid w:val="1CE249B0"/>
    <w:rsid w:val="1CE7377A"/>
    <w:rsid w:val="1CFD2FA0"/>
    <w:rsid w:val="1D0A3BBC"/>
    <w:rsid w:val="1D110FEB"/>
    <w:rsid w:val="1D350989"/>
    <w:rsid w:val="1D3823E6"/>
    <w:rsid w:val="1D383A9B"/>
    <w:rsid w:val="1D3A5FA0"/>
    <w:rsid w:val="1D4045F6"/>
    <w:rsid w:val="1D444E74"/>
    <w:rsid w:val="1D607167"/>
    <w:rsid w:val="1D6B604B"/>
    <w:rsid w:val="1D6E17A5"/>
    <w:rsid w:val="1D7506A5"/>
    <w:rsid w:val="1D7611FD"/>
    <w:rsid w:val="1D787245"/>
    <w:rsid w:val="1D951428"/>
    <w:rsid w:val="1D987F48"/>
    <w:rsid w:val="1DCB58A0"/>
    <w:rsid w:val="1DCC5672"/>
    <w:rsid w:val="1DE11B57"/>
    <w:rsid w:val="1DE55FAA"/>
    <w:rsid w:val="1DEF6D8A"/>
    <w:rsid w:val="1DF35162"/>
    <w:rsid w:val="1E036392"/>
    <w:rsid w:val="1E180A71"/>
    <w:rsid w:val="1E2307E2"/>
    <w:rsid w:val="1E2C3B3A"/>
    <w:rsid w:val="1E3173A3"/>
    <w:rsid w:val="1E3A5FB9"/>
    <w:rsid w:val="1E42335E"/>
    <w:rsid w:val="1E4A3FC0"/>
    <w:rsid w:val="1E59657F"/>
    <w:rsid w:val="1E5B441F"/>
    <w:rsid w:val="1E65704C"/>
    <w:rsid w:val="1E662F0A"/>
    <w:rsid w:val="1E6A20F9"/>
    <w:rsid w:val="1E6C2278"/>
    <w:rsid w:val="1E6D278D"/>
    <w:rsid w:val="1E7554E1"/>
    <w:rsid w:val="1E800036"/>
    <w:rsid w:val="1E8275B7"/>
    <w:rsid w:val="1E92207D"/>
    <w:rsid w:val="1EB4530F"/>
    <w:rsid w:val="1EC12465"/>
    <w:rsid w:val="1EC15757"/>
    <w:rsid w:val="1EE85722"/>
    <w:rsid w:val="1EED050B"/>
    <w:rsid w:val="1EF06AD2"/>
    <w:rsid w:val="1EFD38C8"/>
    <w:rsid w:val="1F010B23"/>
    <w:rsid w:val="1F0E1492"/>
    <w:rsid w:val="1F1A3993"/>
    <w:rsid w:val="1F332CA6"/>
    <w:rsid w:val="1F38392F"/>
    <w:rsid w:val="1F3B3D29"/>
    <w:rsid w:val="1F3D1B10"/>
    <w:rsid w:val="1F3E18E3"/>
    <w:rsid w:val="1F43670E"/>
    <w:rsid w:val="1F5A1159"/>
    <w:rsid w:val="1F635B0F"/>
    <w:rsid w:val="1F8A4FBC"/>
    <w:rsid w:val="1F8D021C"/>
    <w:rsid w:val="1F8D0609"/>
    <w:rsid w:val="1FAA4D39"/>
    <w:rsid w:val="1FD44489"/>
    <w:rsid w:val="1FD66EBC"/>
    <w:rsid w:val="1FDA2ECB"/>
    <w:rsid w:val="1FE81CE3"/>
    <w:rsid w:val="1FED66FF"/>
    <w:rsid w:val="1FEF6BCD"/>
    <w:rsid w:val="1FF27B44"/>
    <w:rsid w:val="1FF77B33"/>
    <w:rsid w:val="2000702C"/>
    <w:rsid w:val="20012DA5"/>
    <w:rsid w:val="20012EDD"/>
    <w:rsid w:val="200503A0"/>
    <w:rsid w:val="200D34F7"/>
    <w:rsid w:val="201448AD"/>
    <w:rsid w:val="201C4F80"/>
    <w:rsid w:val="202664BA"/>
    <w:rsid w:val="20286583"/>
    <w:rsid w:val="203831FC"/>
    <w:rsid w:val="204230B9"/>
    <w:rsid w:val="204C2FF0"/>
    <w:rsid w:val="206770AC"/>
    <w:rsid w:val="20684350"/>
    <w:rsid w:val="20690F89"/>
    <w:rsid w:val="206F089E"/>
    <w:rsid w:val="20743CEA"/>
    <w:rsid w:val="209B7997"/>
    <w:rsid w:val="20A025BE"/>
    <w:rsid w:val="20A06EA1"/>
    <w:rsid w:val="20A166A9"/>
    <w:rsid w:val="20A87A7A"/>
    <w:rsid w:val="20B0298F"/>
    <w:rsid w:val="20B47E17"/>
    <w:rsid w:val="20B54D97"/>
    <w:rsid w:val="20C0056A"/>
    <w:rsid w:val="20CB6060"/>
    <w:rsid w:val="20D33AC1"/>
    <w:rsid w:val="20EA3E55"/>
    <w:rsid w:val="20EB5EB9"/>
    <w:rsid w:val="20F87D04"/>
    <w:rsid w:val="20FB5278"/>
    <w:rsid w:val="20FF1092"/>
    <w:rsid w:val="210330CE"/>
    <w:rsid w:val="210F6EA7"/>
    <w:rsid w:val="21221A61"/>
    <w:rsid w:val="212E3725"/>
    <w:rsid w:val="213A031C"/>
    <w:rsid w:val="214E0848"/>
    <w:rsid w:val="214E1419"/>
    <w:rsid w:val="21646607"/>
    <w:rsid w:val="216773DC"/>
    <w:rsid w:val="2185038F"/>
    <w:rsid w:val="2186335C"/>
    <w:rsid w:val="219263AA"/>
    <w:rsid w:val="21A90DAE"/>
    <w:rsid w:val="21B935DA"/>
    <w:rsid w:val="21BE1A8B"/>
    <w:rsid w:val="21C06CC2"/>
    <w:rsid w:val="21D73DBD"/>
    <w:rsid w:val="21E169EA"/>
    <w:rsid w:val="21E360EE"/>
    <w:rsid w:val="21EE432B"/>
    <w:rsid w:val="21F4671D"/>
    <w:rsid w:val="21F67E29"/>
    <w:rsid w:val="21F754B0"/>
    <w:rsid w:val="221A3776"/>
    <w:rsid w:val="223C7DBD"/>
    <w:rsid w:val="22452A44"/>
    <w:rsid w:val="2246139D"/>
    <w:rsid w:val="224D22D1"/>
    <w:rsid w:val="224F1336"/>
    <w:rsid w:val="224F6F67"/>
    <w:rsid w:val="225355A5"/>
    <w:rsid w:val="22543660"/>
    <w:rsid w:val="2254541C"/>
    <w:rsid w:val="22795FEB"/>
    <w:rsid w:val="227C1FDB"/>
    <w:rsid w:val="228819BE"/>
    <w:rsid w:val="22984EC2"/>
    <w:rsid w:val="229D34C8"/>
    <w:rsid w:val="22A846DF"/>
    <w:rsid w:val="22DC54AC"/>
    <w:rsid w:val="22EC2360"/>
    <w:rsid w:val="22F12DDF"/>
    <w:rsid w:val="22FF181D"/>
    <w:rsid w:val="23032205"/>
    <w:rsid w:val="231F73CD"/>
    <w:rsid w:val="23306AD2"/>
    <w:rsid w:val="23341C16"/>
    <w:rsid w:val="233D2346"/>
    <w:rsid w:val="23446744"/>
    <w:rsid w:val="2346135E"/>
    <w:rsid w:val="23586A43"/>
    <w:rsid w:val="235F406A"/>
    <w:rsid w:val="237B69E7"/>
    <w:rsid w:val="2387631E"/>
    <w:rsid w:val="238A3014"/>
    <w:rsid w:val="2393640A"/>
    <w:rsid w:val="239F0621"/>
    <w:rsid w:val="23AB72AF"/>
    <w:rsid w:val="23C640E9"/>
    <w:rsid w:val="23CD4A35"/>
    <w:rsid w:val="23D305B4"/>
    <w:rsid w:val="23D507D0"/>
    <w:rsid w:val="23E7405F"/>
    <w:rsid w:val="23ED2723"/>
    <w:rsid w:val="23ED50DD"/>
    <w:rsid w:val="23EE4424"/>
    <w:rsid w:val="23F8626D"/>
    <w:rsid w:val="23FE3883"/>
    <w:rsid w:val="23FE70F2"/>
    <w:rsid w:val="2413726B"/>
    <w:rsid w:val="241E3F25"/>
    <w:rsid w:val="241E7C1F"/>
    <w:rsid w:val="2423153B"/>
    <w:rsid w:val="24242268"/>
    <w:rsid w:val="24244D9A"/>
    <w:rsid w:val="24337CEA"/>
    <w:rsid w:val="243768A3"/>
    <w:rsid w:val="243E7697"/>
    <w:rsid w:val="24477079"/>
    <w:rsid w:val="244A2F6C"/>
    <w:rsid w:val="244F0582"/>
    <w:rsid w:val="245305FB"/>
    <w:rsid w:val="24534FAF"/>
    <w:rsid w:val="2458449F"/>
    <w:rsid w:val="24665A6C"/>
    <w:rsid w:val="248332FC"/>
    <w:rsid w:val="248C1A8E"/>
    <w:rsid w:val="24967F5F"/>
    <w:rsid w:val="249D4A0B"/>
    <w:rsid w:val="24B03D22"/>
    <w:rsid w:val="24BB79C6"/>
    <w:rsid w:val="24BE74B6"/>
    <w:rsid w:val="24EA64C2"/>
    <w:rsid w:val="24FD3757"/>
    <w:rsid w:val="250811A3"/>
    <w:rsid w:val="2515039B"/>
    <w:rsid w:val="25184E18"/>
    <w:rsid w:val="252C08C4"/>
    <w:rsid w:val="254439AD"/>
    <w:rsid w:val="254554E2"/>
    <w:rsid w:val="254F6D79"/>
    <w:rsid w:val="255278B7"/>
    <w:rsid w:val="25587FAA"/>
    <w:rsid w:val="255B139B"/>
    <w:rsid w:val="25A01B64"/>
    <w:rsid w:val="25A4324C"/>
    <w:rsid w:val="25B34B41"/>
    <w:rsid w:val="25C40AFC"/>
    <w:rsid w:val="25D56865"/>
    <w:rsid w:val="25E27C61"/>
    <w:rsid w:val="25E35426"/>
    <w:rsid w:val="25FF4B44"/>
    <w:rsid w:val="26076EA8"/>
    <w:rsid w:val="26243349"/>
    <w:rsid w:val="262A236D"/>
    <w:rsid w:val="262C7119"/>
    <w:rsid w:val="262E05AF"/>
    <w:rsid w:val="263C68E5"/>
    <w:rsid w:val="264F7E7A"/>
    <w:rsid w:val="26645787"/>
    <w:rsid w:val="26747E2C"/>
    <w:rsid w:val="26765D47"/>
    <w:rsid w:val="267E77AE"/>
    <w:rsid w:val="268E625D"/>
    <w:rsid w:val="268F4C66"/>
    <w:rsid w:val="26A27C57"/>
    <w:rsid w:val="26AC12A8"/>
    <w:rsid w:val="26B96AF1"/>
    <w:rsid w:val="26C40874"/>
    <w:rsid w:val="26C863CA"/>
    <w:rsid w:val="26CB0E4D"/>
    <w:rsid w:val="26DC6995"/>
    <w:rsid w:val="26E2298C"/>
    <w:rsid w:val="26E65644"/>
    <w:rsid w:val="27111B1F"/>
    <w:rsid w:val="272A0E68"/>
    <w:rsid w:val="272C5F14"/>
    <w:rsid w:val="273870AC"/>
    <w:rsid w:val="273B11B6"/>
    <w:rsid w:val="27602AA7"/>
    <w:rsid w:val="276C42ED"/>
    <w:rsid w:val="2777083B"/>
    <w:rsid w:val="2778352E"/>
    <w:rsid w:val="277A6F4E"/>
    <w:rsid w:val="278571F3"/>
    <w:rsid w:val="278A03E9"/>
    <w:rsid w:val="27934BC4"/>
    <w:rsid w:val="27A40BE5"/>
    <w:rsid w:val="27AB338E"/>
    <w:rsid w:val="27AB37FA"/>
    <w:rsid w:val="27BD402E"/>
    <w:rsid w:val="27C11D62"/>
    <w:rsid w:val="27CE6EE6"/>
    <w:rsid w:val="27D019DA"/>
    <w:rsid w:val="27D671E5"/>
    <w:rsid w:val="27EA51A6"/>
    <w:rsid w:val="2801136F"/>
    <w:rsid w:val="28096C9A"/>
    <w:rsid w:val="280A5B1A"/>
    <w:rsid w:val="280F20FC"/>
    <w:rsid w:val="2818472F"/>
    <w:rsid w:val="282B2895"/>
    <w:rsid w:val="283A6824"/>
    <w:rsid w:val="283A6E54"/>
    <w:rsid w:val="28461441"/>
    <w:rsid w:val="28636754"/>
    <w:rsid w:val="28794B4A"/>
    <w:rsid w:val="289100F5"/>
    <w:rsid w:val="28AC0E38"/>
    <w:rsid w:val="28C411E9"/>
    <w:rsid w:val="28C606E7"/>
    <w:rsid w:val="28D177B8"/>
    <w:rsid w:val="28D728F5"/>
    <w:rsid w:val="28DA40B8"/>
    <w:rsid w:val="28DE3C83"/>
    <w:rsid w:val="28E01790"/>
    <w:rsid w:val="28E21966"/>
    <w:rsid w:val="29015BC3"/>
    <w:rsid w:val="290301B9"/>
    <w:rsid w:val="290C6A42"/>
    <w:rsid w:val="29172663"/>
    <w:rsid w:val="291938B7"/>
    <w:rsid w:val="29270A76"/>
    <w:rsid w:val="29284BA7"/>
    <w:rsid w:val="292D0766"/>
    <w:rsid w:val="292F0982"/>
    <w:rsid w:val="293A6F2B"/>
    <w:rsid w:val="293E3364"/>
    <w:rsid w:val="29446727"/>
    <w:rsid w:val="29497DAA"/>
    <w:rsid w:val="294A68B7"/>
    <w:rsid w:val="295B1778"/>
    <w:rsid w:val="295D52FE"/>
    <w:rsid w:val="296251BB"/>
    <w:rsid w:val="29655E82"/>
    <w:rsid w:val="29680B33"/>
    <w:rsid w:val="296853ED"/>
    <w:rsid w:val="297E51A0"/>
    <w:rsid w:val="29DB4666"/>
    <w:rsid w:val="29DC2F7B"/>
    <w:rsid w:val="2A0113CD"/>
    <w:rsid w:val="2A013C32"/>
    <w:rsid w:val="2A045352"/>
    <w:rsid w:val="2A0566DD"/>
    <w:rsid w:val="2A0E0598"/>
    <w:rsid w:val="2A0E4A0F"/>
    <w:rsid w:val="2A297180"/>
    <w:rsid w:val="2A5920F8"/>
    <w:rsid w:val="2A5A596C"/>
    <w:rsid w:val="2A5F2593"/>
    <w:rsid w:val="2A622148"/>
    <w:rsid w:val="2A7000F8"/>
    <w:rsid w:val="2A7F1496"/>
    <w:rsid w:val="2A8F792B"/>
    <w:rsid w:val="2A917D02"/>
    <w:rsid w:val="2A9A11DD"/>
    <w:rsid w:val="2A9A62D0"/>
    <w:rsid w:val="2AA96834"/>
    <w:rsid w:val="2AAA2F6F"/>
    <w:rsid w:val="2AAD1C86"/>
    <w:rsid w:val="2AC24790"/>
    <w:rsid w:val="2AC670C5"/>
    <w:rsid w:val="2AE15CAC"/>
    <w:rsid w:val="2AE17A5A"/>
    <w:rsid w:val="2AE82C33"/>
    <w:rsid w:val="2AF41599"/>
    <w:rsid w:val="2AF95FAD"/>
    <w:rsid w:val="2AFC0F01"/>
    <w:rsid w:val="2B1478F6"/>
    <w:rsid w:val="2B193698"/>
    <w:rsid w:val="2B2251B9"/>
    <w:rsid w:val="2B2E724E"/>
    <w:rsid w:val="2B410378"/>
    <w:rsid w:val="2B4F7280"/>
    <w:rsid w:val="2B5446D0"/>
    <w:rsid w:val="2B5903E0"/>
    <w:rsid w:val="2B621401"/>
    <w:rsid w:val="2B661C4E"/>
    <w:rsid w:val="2B703741"/>
    <w:rsid w:val="2B8054C5"/>
    <w:rsid w:val="2B8416AD"/>
    <w:rsid w:val="2B91322F"/>
    <w:rsid w:val="2B925C9D"/>
    <w:rsid w:val="2B98280F"/>
    <w:rsid w:val="2B9E76FA"/>
    <w:rsid w:val="2BA71EC7"/>
    <w:rsid w:val="2BB1567F"/>
    <w:rsid w:val="2BC318E4"/>
    <w:rsid w:val="2BD01F4A"/>
    <w:rsid w:val="2BE463A8"/>
    <w:rsid w:val="2BF611E2"/>
    <w:rsid w:val="2BFA365A"/>
    <w:rsid w:val="2BFA407F"/>
    <w:rsid w:val="2BFF63EA"/>
    <w:rsid w:val="2C086033"/>
    <w:rsid w:val="2C1300E8"/>
    <w:rsid w:val="2C1B0FB3"/>
    <w:rsid w:val="2C210A56"/>
    <w:rsid w:val="2C646B95"/>
    <w:rsid w:val="2C6D2EB1"/>
    <w:rsid w:val="2C6D4024"/>
    <w:rsid w:val="2C890A63"/>
    <w:rsid w:val="2C8A3FE3"/>
    <w:rsid w:val="2C970D19"/>
    <w:rsid w:val="2C9E37D8"/>
    <w:rsid w:val="2CA57EB7"/>
    <w:rsid w:val="2CAB6572"/>
    <w:rsid w:val="2CB35427"/>
    <w:rsid w:val="2CB66EF8"/>
    <w:rsid w:val="2CC0545C"/>
    <w:rsid w:val="2CC15D95"/>
    <w:rsid w:val="2CC25C91"/>
    <w:rsid w:val="2CCA2E9C"/>
    <w:rsid w:val="2CDE585C"/>
    <w:rsid w:val="2CE642BD"/>
    <w:rsid w:val="2CE71339"/>
    <w:rsid w:val="2D04536F"/>
    <w:rsid w:val="2D22562B"/>
    <w:rsid w:val="2D374D35"/>
    <w:rsid w:val="2D4F15F3"/>
    <w:rsid w:val="2D645079"/>
    <w:rsid w:val="2D6A6FCC"/>
    <w:rsid w:val="2D6C35AD"/>
    <w:rsid w:val="2D6F1AF6"/>
    <w:rsid w:val="2D7050C6"/>
    <w:rsid w:val="2D7B4AF4"/>
    <w:rsid w:val="2D8A43D9"/>
    <w:rsid w:val="2D906E84"/>
    <w:rsid w:val="2D963483"/>
    <w:rsid w:val="2DAA4A63"/>
    <w:rsid w:val="2DB552DC"/>
    <w:rsid w:val="2DB568C2"/>
    <w:rsid w:val="2DB6195A"/>
    <w:rsid w:val="2DC45E32"/>
    <w:rsid w:val="2DC518B5"/>
    <w:rsid w:val="2DDA46A3"/>
    <w:rsid w:val="2DDE64D3"/>
    <w:rsid w:val="2DEC6644"/>
    <w:rsid w:val="2DF25D98"/>
    <w:rsid w:val="2DFB0E33"/>
    <w:rsid w:val="2E081658"/>
    <w:rsid w:val="2E0B2769"/>
    <w:rsid w:val="2E0C1292"/>
    <w:rsid w:val="2E0E4365"/>
    <w:rsid w:val="2E0E6DB8"/>
    <w:rsid w:val="2E163EBF"/>
    <w:rsid w:val="2E235D2B"/>
    <w:rsid w:val="2E2465DC"/>
    <w:rsid w:val="2E37777C"/>
    <w:rsid w:val="2E545937"/>
    <w:rsid w:val="2E6054F4"/>
    <w:rsid w:val="2E693FEF"/>
    <w:rsid w:val="2E9F0A1C"/>
    <w:rsid w:val="2EBF3FCA"/>
    <w:rsid w:val="2EC71164"/>
    <w:rsid w:val="2ED0406E"/>
    <w:rsid w:val="2ED048CD"/>
    <w:rsid w:val="2EE338FA"/>
    <w:rsid w:val="2EE35091"/>
    <w:rsid w:val="2EF05832"/>
    <w:rsid w:val="2F057313"/>
    <w:rsid w:val="2F227A36"/>
    <w:rsid w:val="2F2D1D50"/>
    <w:rsid w:val="2F2D4B44"/>
    <w:rsid w:val="2F2E66F2"/>
    <w:rsid w:val="2F37233F"/>
    <w:rsid w:val="2F372DFE"/>
    <w:rsid w:val="2F3E103B"/>
    <w:rsid w:val="2F464330"/>
    <w:rsid w:val="2F48454C"/>
    <w:rsid w:val="2F4862FA"/>
    <w:rsid w:val="2F4A722E"/>
    <w:rsid w:val="2F4B26CD"/>
    <w:rsid w:val="2F633867"/>
    <w:rsid w:val="2F68663A"/>
    <w:rsid w:val="2F77076A"/>
    <w:rsid w:val="2F7F02FB"/>
    <w:rsid w:val="2FB54650"/>
    <w:rsid w:val="2FB716BC"/>
    <w:rsid w:val="2FC31CE9"/>
    <w:rsid w:val="2FCC368D"/>
    <w:rsid w:val="2FCE5C87"/>
    <w:rsid w:val="2FD14541"/>
    <w:rsid w:val="2FEB51AF"/>
    <w:rsid w:val="2FEF6776"/>
    <w:rsid w:val="2FF73956"/>
    <w:rsid w:val="2FF87D20"/>
    <w:rsid w:val="2FFB3907"/>
    <w:rsid w:val="30021C5D"/>
    <w:rsid w:val="3006711C"/>
    <w:rsid w:val="30195DF4"/>
    <w:rsid w:val="301D7787"/>
    <w:rsid w:val="30224D9D"/>
    <w:rsid w:val="30564A47"/>
    <w:rsid w:val="305B6052"/>
    <w:rsid w:val="307904A0"/>
    <w:rsid w:val="30982995"/>
    <w:rsid w:val="30AC28B9"/>
    <w:rsid w:val="30AC3483"/>
    <w:rsid w:val="30D322C6"/>
    <w:rsid w:val="30D36D12"/>
    <w:rsid w:val="30DB65A3"/>
    <w:rsid w:val="30F8727E"/>
    <w:rsid w:val="31004DA0"/>
    <w:rsid w:val="31077AEF"/>
    <w:rsid w:val="31102E48"/>
    <w:rsid w:val="3143321D"/>
    <w:rsid w:val="314A45AB"/>
    <w:rsid w:val="31501496"/>
    <w:rsid w:val="31594563"/>
    <w:rsid w:val="316136A3"/>
    <w:rsid w:val="31643C06"/>
    <w:rsid w:val="31974233"/>
    <w:rsid w:val="31AB491E"/>
    <w:rsid w:val="31C0661C"/>
    <w:rsid w:val="31C37EBA"/>
    <w:rsid w:val="31CC143F"/>
    <w:rsid w:val="31CE6530"/>
    <w:rsid w:val="31D75713"/>
    <w:rsid w:val="31DD0182"/>
    <w:rsid w:val="31E3230A"/>
    <w:rsid w:val="31E340B8"/>
    <w:rsid w:val="31EF7F59"/>
    <w:rsid w:val="31FC05CA"/>
    <w:rsid w:val="320006A6"/>
    <w:rsid w:val="3202678C"/>
    <w:rsid w:val="32195D2C"/>
    <w:rsid w:val="32230959"/>
    <w:rsid w:val="323872D7"/>
    <w:rsid w:val="3244724D"/>
    <w:rsid w:val="325307FB"/>
    <w:rsid w:val="32607DFF"/>
    <w:rsid w:val="32636A61"/>
    <w:rsid w:val="32721408"/>
    <w:rsid w:val="32726401"/>
    <w:rsid w:val="327F64D7"/>
    <w:rsid w:val="32904240"/>
    <w:rsid w:val="32943604"/>
    <w:rsid w:val="329B458C"/>
    <w:rsid w:val="32A23F73"/>
    <w:rsid w:val="32A4203F"/>
    <w:rsid w:val="32B43346"/>
    <w:rsid w:val="32BF4B25"/>
    <w:rsid w:val="32CB171C"/>
    <w:rsid w:val="32D210D5"/>
    <w:rsid w:val="32D81743"/>
    <w:rsid w:val="32DE0589"/>
    <w:rsid w:val="32F42084"/>
    <w:rsid w:val="32F822C9"/>
    <w:rsid w:val="32FA6E8A"/>
    <w:rsid w:val="331A7FAD"/>
    <w:rsid w:val="33233883"/>
    <w:rsid w:val="3328662E"/>
    <w:rsid w:val="332F503C"/>
    <w:rsid w:val="333261D4"/>
    <w:rsid w:val="333C0319"/>
    <w:rsid w:val="333C43C8"/>
    <w:rsid w:val="33497A4E"/>
    <w:rsid w:val="3350577D"/>
    <w:rsid w:val="33556DAA"/>
    <w:rsid w:val="335771DF"/>
    <w:rsid w:val="335F62AA"/>
    <w:rsid w:val="33605860"/>
    <w:rsid w:val="33615BDC"/>
    <w:rsid w:val="33631954"/>
    <w:rsid w:val="336456CD"/>
    <w:rsid w:val="337771AE"/>
    <w:rsid w:val="337D4D04"/>
    <w:rsid w:val="33857B1D"/>
    <w:rsid w:val="3390201E"/>
    <w:rsid w:val="339A2082"/>
    <w:rsid w:val="339B5C84"/>
    <w:rsid w:val="33A841F2"/>
    <w:rsid w:val="33AF0DB3"/>
    <w:rsid w:val="33B26FA6"/>
    <w:rsid w:val="33B64661"/>
    <w:rsid w:val="33B977C6"/>
    <w:rsid w:val="33C165B9"/>
    <w:rsid w:val="33C70135"/>
    <w:rsid w:val="33D94143"/>
    <w:rsid w:val="33DA077D"/>
    <w:rsid w:val="33DE547F"/>
    <w:rsid w:val="33EB7340"/>
    <w:rsid w:val="33F627C9"/>
    <w:rsid w:val="34056568"/>
    <w:rsid w:val="34264730"/>
    <w:rsid w:val="342E72E2"/>
    <w:rsid w:val="345C0152"/>
    <w:rsid w:val="346239BA"/>
    <w:rsid w:val="346A0266"/>
    <w:rsid w:val="346F4329"/>
    <w:rsid w:val="34727975"/>
    <w:rsid w:val="348A6083"/>
    <w:rsid w:val="348C0460"/>
    <w:rsid w:val="34975C7C"/>
    <w:rsid w:val="34A9783B"/>
    <w:rsid w:val="34AF3F03"/>
    <w:rsid w:val="34FB0599"/>
    <w:rsid w:val="35676103"/>
    <w:rsid w:val="356F3785"/>
    <w:rsid w:val="35772981"/>
    <w:rsid w:val="35805C0D"/>
    <w:rsid w:val="35902A39"/>
    <w:rsid w:val="3590706C"/>
    <w:rsid w:val="35957DBF"/>
    <w:rsid w:val="35A02B5B"/>
    <w:rsid w:val="35A04F88"/>
    <w:rsid w:val="35A61FCC"/>
    <w:rsid w:val="35B72D53"/>
    <w:rsid w:val="35BC0820"/>
    <w:rsid w:val="35D94444"/>
    <w:rsid w:val="35F5260C"/>
    <w:rsid w:val="35F6049B"/>
    <w:rsid w:val="35F82E6E"/>
    <w:rsid w:val="35F965A0"/>
    <w:rsid w:val="35FB18CD"/>
    <w:rsid w:val="35FC0710"/>
    <w:rsid w:val="35FC41D6"/>
    <w:rsid w:val="35FF1930"/>
    <w:rsid w:val="35FF23A6"/>
    <w:rsid w:val="364A0BAA"/>
    <w:rsid w:val="36545584"/>
    <w:rsid w:val="365E6403"/>
    <w:rsid w:val="36617829"/>
    <w:rsid w:val="366322D0"/>
    <w:rsid w:val="366B79B5"/>
    <w:rsid w:val="36932551"/>
    <w:rsid w:val="369D33CF"/>
    <w:rsid w:val="36A278B1"/>
    <w:rsid w:val="36A77DAA"/>
    <w:rsid w:val="36BA6316"/>
    <w:rsid w:val="36BF3346"/>
    <w:rsid w:val="36C56D51"/>
    <w:rsid w:val="36C721FA"/>
    <w:rsid w:val="36C81C8B"/>
    <w:rsid w:val="36C956DA"/>
    <w:rsid w:val="36DF6415"/>
    <w:rsid w:val="36E728E4"/>
    <w:rsid w:val="37073807"/>
    <w:rsid w:val="370C40B1"/>
    <w:rsid w:val="371261F4"/>
    <w:rsid w:val="37216147"/>
    <w:rsid w:val="37321D6A"/>
    <w:rsid w:val="374E0226"/>
    <w:rsid w:val="37557806"/>
    <w:rsid w:val="375B598D"/>
    <w:rsid w:val="37756E01"/>
    <w:rsid w:val="37774D6F"/>
    <w:rsid w:val="37914DA0"/>
    <w:rsid w:val="379A16BD"/>
    <w:rsid w:val="379A790F"/>
    <w:rsid w:val="379B4B53"/>
    <w:rsid w:val="37A10C9D"/>
    <w:rsid w:val="37A56BB4"/>
    <w:rsid w:val="37A92409"/>
    <w:rsid w:val="37B0004E"/>
    <w:rsid w:val="37BF7375"/>
    <w:rsid w:val="37C84DAB"/>
    <w:rsid w:val="37C93D50"/>
    <w:rsid w:val="37D83202"/>
    <w:rsid w:val="37D921E5"/>
    <w:rsid w:val="37DD04A3"/>
    <w:rsid w:val="37DF05B3"/>
    <w:rsid w:val="37E81D8A"/>
    <w:rsid w:val="37F232A7"/>
    <w:rsid w:val="37F7266B"/>
    <w:rsid w:val="38066D52"/>
    <w:rsid w:val="38196A86"/>
    <w:rsid w:val="381F2FEF"/>
    <w:rsid w:val="38213B8C"/>
    <w:rsid w:val="38232547"/>
    <w:rsid w:val="382471D8"/>
    <w:rsid w:val="38277EC9"/>
    <w:rsid w:val="382947EF"/>
    <w:rsid w:val="382E2FA6"/>
    <w:rsid w:val="382F0057"/>
    <w:rsid w:val="38441F54"/>
    <w:rsid w:val="38604375"/>
    <w:rsid w:val="38795AF1"/>
    <w:rsid w:val="388109FB"/>
    <w:rsid w:val="38887767"/>
    <w:rsid w:val="388D4D7E"/>
    <w:rsid w:val="38910FCA"/>
    <w:rsid w:val="389B5A50"/>
    <w:rsid w:val="38AD0A4B"/>
    <w:rsid w:val="38B4247D"/>
    <w:rsid w:val="38B50391"/>
    <w:rsid w:val="38B637D9"/>
    <w:rsid w:val="38C138AB"/>
    <w:rsid w:val="38C43A45"/>
    <w:rsid w:val="38C52D4E"/>
    <w:rsid w:val="38E5105E"/>
    <w:rsid w:val="38E928FC"/>
    <w:rsid w:val="38ED3A6E"/>
    <w:rsid w:val="38EF77E6"/>
    <w:rsid w:val="38F01009"/>
    <w:rsid w:val="38FD7471"/>
    <w:rsid w:val="392C1632"/>
    <w:rsid w:val="39325461"/>
    <w:rsid w:val="39595216"/>
    <w:rsid w:val="396F26D5"/>
    <w:rsid w:val="3971644D"/>
    <w:rsid w:val="39766A08"/>
    <w:rsid w:val="397C1C5A"/>
    <w:rsid w:val="39820DED"/>
    <w:rsid w:val="398443D3"/>
    <w:rsid w:val="399A2EF7"/>
    <w:rsid w:val="399C796E"/>
    <w:rsid w:val="39B86DAD"/>
    <w:rsid w:val="39D37108"/>
    <w:rsid w:val="39D40A28"/>
    <w:rsid w:val="39D749C2"/>
    <w:rsid w:val="39EE1F83"/>
    <w:rsid w:val="39F233D0"/>
    <w:rsid w:val="39F71049"/>
    <w:rsid w:val="39FC7BC4"/>
    <w:rsid w:val="3A1512C6"/>
    <w:rsid w:val="3A2D5684"/>
    <w:rsid w:val="3A30455A"/>
    <w:rsid w:val="3A3A1B99"/>
    <w:rsid w:val="3A3B7C12"/>
    <w:rsid w:val="3A5244D1"/>
    <w:rsid w:val="3A5822E1"/>
    <w:rsid w:val="3A59585F"/>
    <w:rsid w:val="3A704FD8"/>
    <w:rsid w:val="3A8176C3"/>
    <w:rsid w:val="3A9E3272"/>
    <w:rsid w:val="3AAA1C17"/>
    <w:rsid w:val="3ADC3A2C"/>
    <w:rsid w:val="3AE6778B"/>
    <w:rsid w:val="3AEA1B3D"/>
    <w:rsid w:val="3AEF3ACE"/>
    <w:rsid w:val="3AF92745"/>
    <w:rsid w:val="3B0954D1"/>
    <w:rsid w:val="3B0D21A6"/>
    <w:rsid w:val="3B152F5A"/>
    <w:rsid w:val="3B277E26"/>
    <w:rsid w:val="3B413021"/>
    <w:rsid w:val="3B5F50F7"/>
    <w:rsid w:val="3B642DFF"/>
    <w:rsid w:val="3B64626A"/>
    <w:rsid w:val="3B6C15C2"/>
    <w:rsid w:val="3B7E311A"/>
    <w:rsid w:val="3B9F70D0"/>
    <w:rsid w:val="3BB54D17"/>
    <w:rsid w:val="3BBA232E"/>
    <w:rsid w:val="3BF145AD"/>
    <w:rsid w:val="3BF90C66"/>
    <w:rsid w:val="3BFA4E20"/>
    <w:rsid w:val="3BFF33E6"/>
    <w:rsid w:val="3C0B53D0"/>
    <w:rsid w:val="3C145EE2"/>
    <w:rsid w:val="3C1A2DCC"/>
    <w:rsid w:val="3C26199D"/>
    <w:rsid w:val="3C320116"/>
    <w:rsid w:val="3C4A1903"/>
    <w:rsid w:val="3C601127"/>
    <w:rsid w:val="3C664263"/>
    <w:rsid w:val="3C6E75F5"/>
    <w:rsid w:val="3C7C56FD"/>
    <w:rsid w:val="3C7C75E3"/>
    <w:rsid w:val="3C887863"/>
    <w:rsid w:val="3C8C1F1C"/>
    <w:rsid w:val="3C9C3676"/>
    <w:rsid w:val="3CB163D2"/>
    <w:rsid w:val="3CB43221"/>
    <w:rsid w:val="3CBC20D5"/>
    <w:rsid w:val="3CC9028A"/>
    <w:rsid w:val="3CCA0042"/>
    <w:rsid w:val="3CCD2793"/>
    <w:rsid w:val="3CD51C46"/>
    <w:rsid w:val="3CE8114E"/>
    <w:rsid w:val="3CFE26EE"/>
    <w:rsid w:val="3D031AB2"/>
    <w:rsid w:val="3D034FD7"/>
    <w:rsid w:val="3D0433A8"/>
    <w:rsid w:val="3D05341C"/>
    <w:rsid w:val="3D0A5745"/>
    <w:rsid w:val="3D274A9D"/>
    <w:rsid w:val="3D2832C7"/>
    <w:rsid w:val="3D3659E4"/>
    <w:rsid w:val="3D4324E4"/>
    <w:rsid w:val="3D4841CD"/>
    <w:rsid w:val="3D4B2926"/>
    <w:rsid w:val="3D5B544A"/>
    <w:rsid w:val="3D6A38DF"/>
    <w:rsid w:val="3D6C3AFB"/>
    <w:rsid w:val="3D771A54"/>
    <w:rsid w:val="3D9F50BB"/>
    <w:rsid w:val="3D9F7A2D"/>
    <w:rsid w:val="3DB50FFF"/>
    <w:rsid w:val="3DB64D5C"/>
    <w:rsid w:val="3DC44203"/>
    <w:rsid w:val="3DC5736F"/>
    <w:rsid w:val="3DE844EE"/>
    <w:rsid w:val="3E014C10"/>
    <w:rsid w:val="3E0E2FF2"/>
    <w:rsid w:val="3E263CAA"/>
    <w:rsid w:val="3E2B7DC8"/>
    <w:rsid w:val="3E3D2DA2"/>
    <w:rsid w:val="3E3D4260"/>
    <w:rsid w:val="3E473A5B"/>
    <w:rsid w:val="3E505288"/>
    <w:rsid w:val="3E554590"/>
    <w:rsid w:val="3E5B7300"/>
    <w:rsid w:val="3E66679D"/>
    <w:rsid w:val="3E721309"/>
    <w:rsid w:val="3E7222B2"/>
    <w:rsid w:val="3E7C7E1E"/>
    <w:rsid w:val="3E8B6203"/>
    <w:rsid w:val="3E8D3F69"/>
    <w:rsid w:val="3E963FC2"/>
    <w:rsid w:val="3E9D4890"/>
    <w:rsid w:val="3EC11C25"/>
    <w:rsid w:val="3ECB6600"/>
    <w:rsid w:val="3ED127B1"/>
    <w:rsid w:val="3ED82DBD"/>
    <w:rsid w:val="3ED92ACB"/>
    <w:rsid w:val="3EE0186C"/>
    <w:rsid w:val="3EE4401A"/>
    <w:rsid w:val="3EE871B2"/>
    <w:rsid w:val="3EEC1F86"/>
    <w:rsid w:val="3EEF0540"/>
    <w:rsid w:val="3EF618CF"/>
    <w:rsid w:val="3EF70B6F"/>
    <w:rsid w:val="3EFB5137"/>
    <w:rsid w:val="3F275F2C"/>
    <w:rsid w:val="3F316D72"/>
    <w:rsid w:val="3F395C1F"/>
    <w:rsid w:val="3F3E720C"/>
    <w:rsid w:val="3F4A24DA"/>
    <w:rsid w:val="3F536256"/>
    <w:rsid w:val="3F5A5FAE"/>
    <w:rsid w:val="3F636838"/>
    <w:rsid w:val="3F642136"/>
    <w:rsid w:val="3F7722E4"/>
    <w:rsid w:val="3F7C2599"/>
    <w:rsid w:val="3F896972"/>
    <w:rsid w:val="3F9E0884"/>
    <w:rsid w:val="3FB86354"/>
    <w:rsid w:val="3FBA0D6F"/>
    <w:rsid w:val="3FC71847"/>
    <w:rsid w:val="3FD341E0"/>
    <w:rsid w:val="3FE20A08"/>
    <w:rsid w:val="3FE931E1"/>
    <w:rsid w:val="3FF70176"/>
    <w:rsid w:val="400076A9"/>
    <w:rsid w:val="40060543"/>
    <w:rsid w:val="401A26F8"/>
    <w:rsid w:val="402661E4"/>
    <w:rsid w:val="402D5FD6"/>
    <w:rsid w:val="40396BF8"/>
    <w:rsid w:val="40442B0E"/>
    <w:rsid w:val="40505CB2"/>
    <w:rsid w:val="40692574"/>
    <w:rsid w:val="40692889"/>
    <w:rsid w:val="40776A3F"/>
    <w:rsid w:val="40813AF9"/>
    <w:rsid w:val="408810DD"/>
    <w:rsid w:val="408977BB"/>
    <w:rsid w:val="409138FB"/>
    <w:rsid w:val="40AE60AE"/>
    <w:rsid w:val="40C357E1"/>
    <w:rsid w:val="40EE6BA4"/>
    <w:rsid w:val="40F77B80"/>
    <w:rsid w:val="40FC0CF2"/>
    <w:rsid w:val="410445E8"/>
    <w:rsid w:val="410D2F00"/>
    <w:rsid w:val="41151DB4"/>
    <w:rsid w:val="411B74F2"/>
    <w:rsid w:val="4128652E"/>
    <w:rsid w:val="412E2343"/>
    <w:rsid w:val="41395AA3"/>
    <w:rsid w:val="41410BF8"/>
    <w:rsid w:val="41525EBB"/>
    <w:rsid w:val="417613AD"/>
    <w:rsid w:val="41902AEE"/>
    <w:rsid w:val="41A27F5D"/>
    <w:rsid w:val="41AA69A0"/>
    <w:rsid w:val="41B31CF9"/>
    <w:rsid w:val="41B4776D"/>
    <w:rsid w:val="41B63597"/>
    <w:rsid w:val="41C8510C"/>
    <w:rsid w:val="41CE08E1"/>
    <w:rsid w:val="41D13993"/>
    <w:rsid w:val="41D67795"/>
    <w:rsid w:val="41E1182B"/>
    <w:rsid w:val="41E72C59"/>
    <w:rsid w:val="41FD6B6F"/>
    <w:rsid w:val="421873F0"/>
    <w:rsid w:val="423A7D24"/>
    <w:rsid w:val="424961B9"/>
    <w:rsid w:val="424E557E"/>
    <w:rsid w:val="425608D6"/>
    <w:rsid w:val="426B4300"/>
    <w:rsid w:val="42755200"/>
    <w:rsid w:val="4286226C"/>
    <w:rsid w:val="428C5461"/>
    <w:rsid w:val="42963DB6"/>
    <w:rsid w:val="429F5DD9"/>
    <w:rsid w:val="42B07FE6"/>
    <w:rsid w:val="42B850ED"/>
    <w:rsid w:val="42C35F6C"/>
    <w:rsid w:val="42D1359F"/>
    <w:rsid w:val="42DE0A3B"/>
    <w:rsid w:val="42E6190E"/>
    <w:rsid w:val="42F3353D"/>
    <w:rsid w:val="4300077C"/>
    <w:rsid w:val="430D71E7"/>
    <w:rsid w:val="43100A85"/>
    <w:rsid w:val="43160791"/>
    <w:rsid w:val="432A4355"/>
    <w:rsid w:val="433D231F"/>
    <w:rsid w:val="434075BC"/>
    <w:rsid w:val="4347073B"/>
    <w:rsid w:val="43505326"/>
    <w:rsid w:val="4352109E"/>
    <w:rsid w:val="43560B8E"/>
    <w:rsid w:val="436F77F4"/>
    <w:rsid w:val="43A1442F"/>
    <w:rsid w:val="43A15B81"/>
    <w:rsid w:val="43D84CB4"/>
    <w:rsid w:val="43DD4E0B"/>
    <w:rsid w:val="43DE0B83"/>
    <w:rsid w:val="43E066A9"/>
    <w:rsid w:val="43FC20CA"/>
    <w:rsid w:val="43FD224D"/>
    <w:rsid w:val="44093DC4"/>
    <w:rsid w:val="440B1F08"/>
    <w:rsid w:val="44110F59"/>
    <w:rsid w:val="4427077C"/>
    <w:rsid w:val="443825CC"/>
    <w:rsid w:val="443929B1"/>
    <w:rsid w:val="444F0B46"/>
    <w:rsid w:val="445163FE"/>
    <w:rsid w:val="445165B8"/>
    <w:rsid w:val="44562E10"/>
    <w:rsid w:val="448A0974"/>
    <w:rsid w:val="44983428"/>
    <w:rsid w:val="449F47B6"/>
    <w:rsid w:val="44B74F93"/>
    <w:rsid w:val="44D72701"/>
    <w:rsid w:val="44E011A6"/>
    <w:rsid w:val="44F01485"/>
    <w:rsid w:val="450527EC"/>
    <w:rsid w:val="45280308"/>
    <w:rsid w:val="453B44DF"/>
    <w:rsid w:val="453F4DD3"/>
    <w:rsid w:val="45505AB1"/>
    <w:rsid w:val="45513D03"/>
    <w:rsid w:val="455A3054"/>
    <w:rsid w:val="455B2BCA"/>
    <w:rsid w:val="45667082"/>
    <w:rsid w:val="45795008"/>
    <w:rsid w:val="45803400"/>
    <w:rsid w:val="45A32084"/>
    <w:rsid w:val="45B00115"/>
    <w:rsid w:val="45B16E3A"/>
    <w:rsid w:val="45CA5615"/>
    <w:rsid w:val="45D65F57"/>
    <w:rsid w:val="45E414FB"/>
    <w:rsid w:val="45F96148"/>
    <w:rsid w:val="45FB77CB"/>
    <w:rsid w:val="45FC23EB"/>
    <w:rsid w:val="46130FB8"/>
    <w:rsid w:val="4618037D"/>
    <w:rsid w:val="46206CE3"/>
    <w:rsid w:val="462A456B"/>
    <w:rsid w:val="46340F2E"/>
    <w:rsid w:val="465810C1"/>
    <w:rsid w:val="465B4B58"/>
    <w:rsid w:val="465F5FAB"/>
    <w:rsid w:val="466035DF"/>
    <w:rsid w:val="466074D4"/>
    <w:rsid w:val="466266C4"/>
    <w:rsid w:val="46687C32"/>
    <w:rsid w:val="467620DB"/>
    <w:rsid w:val="46853538"/>
    <w:rsid w:val="469866DD"/>
    <w:rsid w:val="46D71FE6"/>
    <w:rsid w:val="46DA06CE"/>
    <w:rsid w:val="46DF75D3"/>
    <w:rsid w:val="46E241D9"/>
    <w:rsid w:val="46F25071"/>
    <w:rsid w:val="46F331FD"/>
    <w:rsid w:val="46F801AE"/>
    <w:rsid w:val="46FD59A4"/>
    <w:rsid w:val="471F573B"/>
    <w:rsid w:val="472870E1"/>
    <w:rsid w:val="47356D0C"/>
    <w:rsid w:val="473E1FAB"/>
    <w:rsid w:val="473F1CAF"/>
    <w:rsid w:val="475520CB"/>
    <w:rsid w:val="476217D2"/>
    <w:rsid w:val="476B6BD2"/>
    <w:rsid w:val="47730B9F"/>
    <w:rsid w:val="477E06B3"/>
    <w:rsid w:val="477E0D03"/>
    <w:rsid w:val="479A0D2B"/>
    <w:rsid w:val="47A4088A"/>
    <w:rsid w:val="47A65E04"/>
    <w:rsid w:val="47A82838"/>
    <w:rsid w:val="47B24801"/>
    <w:rsid w:val="47B916EB"/>
    <w:rsid w:val="47C73A13"/>
    <w:rsid w:val="47CA1B4A"/>
    <w:rsid w:val="47CC4172"/>
    <w:rsid w:val="47D227AD"/>
    <w:rsid w:val="47D63696"/>
    <w:rsid w:val="47E524E0"/>
    <w:rsid w:val="47EF5488"/>
    <w:rsid w:val="47F004ED"/>
    <w:rsid w:val="47F50E23"/>
    <w:rsid w:val="47F95AC8"/>
    <w:rsid w:val="483B59A8"/>
    <w:rsid w:val="483C6B16"/>
    <w:rsid w:val="483E3EF6"/>
    <w:rsid w:val="484129AF"/>
    <w:rsid w:val="48425B85"/>
    <w:rsid w:val="48442A57"/>
    <w:rsid w:val="484D41D2"/>
    <w:rsid w:val="4851401A"/>
    <w:rsid w:val="485D476D"/>
    <w:rsid w:val="485F3913"/>
    <w:rsid w:val="48613353"/>
    <w:rsid w:val="489F4D85"/>
    <w:rsid w:val="48B63940"/>
    <w:rsid w:val="48E00EFA"/>
    <w:rsid w:val="48E1714C"/>
    <w:rsid w:val="48E27784"/>
    <w:rsid w:val="48EB1D78"/>
    <w:rsid w:val="48EC3400"/>
    <w:rsid w:val="48EF57CD"/>
    <w:rsid w:val="48F0738F"/>
    <w:rsid w:val="491523DF"/>
    <w:rsid w:val="491D766A"/>
    <w:rsid w:val="49276B29"/>
    <w:rsid w:val="493062DE"/>
    <w:rsid w:val="49731CF6"/>
    <w:rsid w:val="49746212"/>
    <w:rsid w:val="49856B5A"/>
    <w:rsid w:val="498A77E3"/>
    <w:rsid w:val="498D72D3"/>
    <w:rsid w:val="49935F6C"/>
    <w:rsid w:val="49974028"/>
    <w:rsid w:val="499A72FA"/>
    <w:rsid w:val="49A168DB"/>
    <w:rsid w:val="49B52386"/>
    <w:rsid w:val="49C51901"/>
    <w:rsid w:val="49E36EF3"/>
    <w:rsid w:val="49E50A03"/>
    <w:rsid w:val="49E96B8C"/>
    <w:rsid w:val="49E97510"/>
    <w:rsid w:val="49F40504"/>
    <w:rsid w:val="49FD2827"/>
    <w:rsid w:val="49FF4481"/>
    <w:rsid w:val="4A001853"/>
    <w:rsid w:val="4A0A1903"/>
    <w:rsid w:val="4A0A6440"/>
    <w:rsid w:val="4A105780"/>
    <w:rsid w:val="4A286FFC"/>
    <w:rsid w:val="4A2949CC"/>
    <w:rsid w:val="4A413598"/>
    <w:rsid w:val="4A693EDF"/>
    <w:rsid w:val="4A6E2C61"/>
    <w:rsid w:val="4A761B16"/>
    <w:rsid w:val="4A7651BC"/>
    <w:rsid w:val="4A854A05"/>
    <w:rsid w:val="4A8C219C"/>
    <w:rsid w:val="4A902820"/>
    <w:rsid w:val="4A905C12"/>
    <w:rsid w:val="4A954692"/>
    <w:rsid w:val="4AA653A4"/>
    <w:rsid w:val="4ACA1E61"/>
    <w:rsid w:val="4ADF24EA"/>
    <w:rsid w:val="4AE66C9B"/>
    <w:rsid w:val="4AED03C3"/>
    <w:rsid w:val="4AFF47E8"/>
    <w:rsid w:val="4B03697B"/>
    <w:rsid w:val="4B050CA9"/>
    <w:rsid w:val="4B0E1D4E"/>
    <w:rsid w:val="4B100CB1"/>
    <w:rsid w:val="4B134954"/>
    <w:rsid w:val="4B1530DD"/>
    <w:rsid w:val="4B1553C1"/>
    <w:rsid w:val="4B1C5AA0"/>
    <w:rsid w:val="4B1F21AD"/>
    <w:rsid w:val="4B2E0642"/>
    <w:rsid w:val="4B3C4B0D"/>
    <w:rsid w:val="4B5559D2"/>
    <w:rsid w:val="4B55709A"/>
    <w:rsid w:val="4B661B8A"/>
    <w:rsid w:val="4B67093E"/>
    <w:rsid w:val="4B680310"/>
    <w:rsid w:val="4B6D00DA"/>
    <w:rsid w:val="4B7C7600"/>
    <w:rsid w:val="4B9801B5"/>
    <w:rsid w:val="4B9825BC"/>
    <w:rsid w:val="4B9F32EE"/>
    <w:rsid w:val="4BAE567A"/>
    <w:rsid w:val="4BB157AC"/>
    <w:rsid w:val="4BC85F53"/>
    <w:rsid w:val="4BD2796F"/>
    <w:rsid w:val="4BE86A43"/>
    <w:rsid w:val="4BEB6A1F"/>
    <w:rsid w:val="4BF067A7"/>
    <w:rsid w:val="4BF54CBC"/>
    <w:rsid w:val="4BFF16CC"/>
    <w:rsid w:val="4C0F5D7E"/>
    <w:rsid w:val="4C1922D7"/>
    <w:rsid w:val="4C39729F"/>
    <w:rsid w:val="4C407432"/>
    <w:rsid w:val="4C4C6FD2"/>
    <w:rsid w:val="4C502436"/>
    <w:rsid w:val="4C516B60"/>
    <w:rsid w:val="4C6562E6"/>
    <w:rsid w:val="4C667968"/>
    <w:rsid w:val="4C7840C1"/>
    <w:rsid w:val="4C993E74"/>
    <w:rsid w:val="4CBD2CE7"/>
    <w:rsid w:val="4CC95027"/>
    <w:rsid w:val="4CF03E01"/>
    <w:rsid w:val="4D014095"/>
    <w:rsid w:val="4D19055F"/>
    <w:rsid w:val="4D1D280B"/>
    <w:rsid w:val="4D227F23"/>
    <w:rsid w:val="4D394024"/>
    <w:rsid w:val="4D4001B9"/>
    <w:rsid w:val="4D5B7C28"/>
    <w:rsid w:val="4D603D38"/>
    <w:rsid w:val="4D757F62"/>
    <w:rsid w:val="4D79355D"/>
    <w:rsid w:val="4D7C38E7"/>
    <w:rsid w:val="4D9731E3"/>
    <w:rsid w:val="4DA956AC"/>
    <w:rsid w:val="4DAC01C0"/>
    <w:rsid w:val="4DAD1323"/>
    <w:rsid w:val="4DAD74CF"/>
    <w:rsid w:val="4DB017E2"/>
    <w:rsid w:val="4DC34779"/>
    <w:rsid w:val="4DD463E6"/>
    <w:rsid w:val="4DE45D18"/>
    <w:rsid w:val="4DEB281B"/>
    <w:rsid w:val="4DF07E31"/>
    <w:rsid w:val="4DF86C11"/>
    <w:rsid w:val="4E2570BA"/>
    <w:rsid w:val="4E290516"/>
    <w:rsid w:val="4E2B0E69"/>
    <w:rsid w:val="4E376871"/>
    <w:rsid w:val="4E41243B"/>
    <w:rsid w:val="4E517DE8"/>
    <w:rsid w:val="4E5403C0"/>
    <w:rsid w:val="4E546088"/>
    <w:rsid w:val="4E744CB5"/>
    <w:rsid w:val="4E8011B5"/>
    <w:rsid w:val="4E832A53"/>
    <w:rsid w:val="4E86368C"/>
    <w:rsid w:val="4E8B7F40"/>
    <w:rsid w:val="4E8E67CD"/>
    <w:rsid w:val="4EAD0016"/>
    <w:rsid w:val="4EC77319"/>
    <w:rsid w:val="4EC927B3"/>
    <w:rsid w:val="4ECF0252"/>
    <w:rsid w:val="4ED17C62"/>
    <w:rsid w:val="4ED35788"/>
    <w:rsid w:val="4ED46303"/>
    <w:rsid w:val="4EDA5F2D"/>
    <w:rsid w:val="4EE259CC"/>
    <w:rsid w:val="4EE25DA1"/>
    <w:rsid w:val="4EEF633A"/>
    <w:rsid w:val="4EFB1481"/>
    <w:rsid w:val="4F072FD8"/>
    <w:rsid w:val="4F082F58"/>
    <w:rsid w:val="4F0C0C9A"/>
    <w:rsid w:val="4F15062C"/>
    <w:rsid w:val="4F2178B2"/>
    <w:rsid w:val="4F264992"/>
    <w:rsid w:val="4F27408D"/>
    <w:rsid w:val="4F2A7373"/>
    <w:rsid w:val="4F31425D"/>
    <w:rsid w:val="4F370AE4"/>
    <w:rsid w:val="4F6F4D85"/>
    <w:rsid w:val="4F7438DC"/>
    <w:rsid w:val="4F7505EE"/>
    <w:rsid w:val="4F922D7A"/>
    <w:rsid w:val="4FA964E9"/>
    <w:rsid w:val="4FAC7D88"/>
    <w:rsid w:val="4FC64668"/>
    <w:rsid w:val="4FC868B1"/>
    <w:rsid w:val="4FD142AB"/>
    <w:rsid w:val="4FD712A8"/>
    <w:rsid w:val="4FE237A9"/>
    <w:rsid w:val="4FEA0E3B"/>
    <w:rsid w:val="4FF26DF5"/>
    <w:rsid w:val="4FFC2ABD"/>
    <w:rsid w:val="5004435B"/>
    <w:rsid w:val="501222E0"/>
    <w:rsid w:val="501A102A"/>
    <w:rsid w:val="501F67AB"/>
    <w:rsid w:val="50225D61"/>
    <w:rsid w:val="502A587C"/>
    <w:rsid w:val="502C2CAB"/>
    <w:rsid w:val="502D50C3"/>
    <w:rsid w:val="5045626C"/>
    <w:rsid w:val="50463D38"/>
    <w:rsid w:val="504E3E95"/>
    <w:rsid w:val="50586D12"/>
    <w:rsid w:val="505C17AE"/>
    <w:rsid w:val="50703784"/>
    <w:rsid w:val="50720FD1"/>
    <w:rsid w:val="50752314"/>
    <w:rsid w:val="50760AC1"/>
    <w:rsid w:val="50801916"/>
    <w:rsid w:val="5080549C"/>
    <w:rsid w:val="508A5E4C"/>
    <w:rsid w:val="50900BB8"/>
    <w:rsid w:val="50B04260"/>
    <w:rsid w:val="50B7657A"/>
    <w:rsid w:val="50D47B98"/>
    <w:rsid w:val="50DF273A"/>
    <w:rsid w:val="50E05E5D"/>
    <w:rsid w:val="50E37049"/>
    <w:rsid w:val="50E8011A"/>
    <w:rsid w:val="50F0342F"/>
    <w:rsid w:val="511107EA"/>
    <w:rsid w:val="512B6DC3"/>
    <w:rsid w:val="51361FFF"/>
    <w:rsid w:val="51494F52"/>
    <w:rsid w:val="515D3A2F"/>
    <w:rsid w:val="519361CA"/>
    <w:rsid w:val="51945803"/>
    <w:rsid w:val="51A647D1"/>
    <w:rsid w:val="51AB44ED"/>
    <w:rsid w:val="51B21032"/>
    <w:rsid w:val="51BC406B"/>
    <w:rsid w:val="51F868C1"/>
    <w:rsid w:val="520D0FB1"/>
    <w:rsid w:val="52217BCC"/>
    <w:rsid w:val="52232583"/>
    <w:rsid w:val="522B58DB"/>
    <w:rsid w:val="52307BB0"/>
    <w:rsid w:val="523A167B"/>
    <w:rsid w:val="525F5CE9"/>
    <w:rsid w:val="52621F21"/>
    <w:rsid w:val="527E451C"/>
    <w:rsid w:val="52812290"/>
    <w:rsid w:val="528F7C18"/>
    <w:rsid w:val="52964527"/>
    <w:rsid w:val="529A0A2D"/>
    <w:rsid w:val="52A55F44"/>
    <w:rsid w:val="52BE04FE"/>
    <w:rsid w:val="52C6305F"/>
    <w:rsid w:val="52CA29FF"/>
    <w:rsid w:val="53041AC7"/>
    <w:rsid w:val="530B42C2"/>
    <w:rsid w:val="534722A1"/>
    <w:rsid w:val="53656BCB"/>
    <w:rsid w:val="536845DB"/>
    <w:rsid w:val="5376358F"/>
    <w:rsid w:val="537868FE"/>
    <w:rsid w:val="537F0A2B"/>
    <w:rsid w:val="537F1BD9"/>
    <w:rsid w:val="537F7C8D"/>
    <w:rsid w:val="53980D4F"/>
    <w:rsid w:val="53BF452D"/>
    <w:rsid w:val="53DA0736"/>
    <w:rsid w:val="53F817ED"/>
    <w:rsid w:val="5408144B"/>
    <w:rsid w:val="540939FA"/>
    <w:rsid w:val="54295E4B"/>
    <w:rsid w:val="54345897"/>
    <w:rsid w:val="54387007"/>
    <w:rsid w:val="543D6C1F"/>
    <w:rsid w:val="543F5915"/>
    <w:rsid w:val="54415C74"/>
    <w:rsid w:val="54465253"/>
    <w:rsid w:val="544E765F"/>
    <w:rsid w:val="545D249A"/>
    <w:rsid w:val="54622771"/>
    <w:rsid w:val="5474356A"/>
    <w:rsid w:val="54775F9C"/>
    <w:rsid w:val="54866880"/>
    <w:rsid w:val="54914278"/>
    <w:rsid w:val="549F0CCD"/>
    <w:rsid w:val="54AE1308"/>
    <w:rsid w:val="54C629CE"/>
    <w:rsid w:val="55254864"/>
    <w:rsid w:val="5537410F"/>
    <w:rsid w:val="55452810"/>
    <w:rsid w:val="55654571"/>
    <w:rsid w:val="55766E6E"/>
    <w:rsid w:val="55A41C2D"/>
    <w:rsid w:val="55A52421"/>
    <w:rsid w:val="55A70669"/>
    <w:rsid w:val="55B61960"/>
    <w:rsid w:val="55C23E61"/>
    <w:rsid w:val="55C27A0C"/>
    <w:rsid w:val="55C844F0"/>
    <w:rsid w:val="55C949E1"/>
    <w:rsid w:val="55DA38A0"/>
    <w:rsid w:val="55DA3AE3"/>
    <w:rsid w:val="55DC6AA5"/>
    <w:rsid w:val="55E22755"/>
    <w:rsid w:val="55E93AE3"/>
    <w:rsid w:val="55F17BB4"/>
    <w:rsid w:val="55FB55C5"/>
    <w:rsid w:val="56024BA5"/>
    <w:rsid w:val="560426CB"/>
    <w:rsid w:val="56053B6E"/>
    <w:rsid w:val="561231D3"/>
    <w:rsid w:val="561D19DF"/>
    <w:rsid w:val="562D63B6"/>
    <w:rsid w:val="564273BF"/>
    <w:rsid w:val="56501395"/>
    <w:rsid w:val="565279DE"/>
    <w:rsid w:val="56532714"/>
    <w:rsid w:val="56593E5A"/>
    <w:rsid w:val="565F1E08"/>
    <w:rsid w:val="566118CC"/>
    <w:rsid w:val="566E5D97"/>
    <w:rsid w:val="568C1E02"/>
    <w:rsid w:val="5696244B"/>
    <w:rsid w:val="56A93273"/>
    <w:rsid w:val="56C360E3"/>
    <w:rsid w:val="56D20918"/>
    <w:rsid w:val="56F02C50"/>
    <w:rsid w:val="56F42B0F"/>
    <w:rsid w:val="56FD753C"/>
    <w:rsid w:val="570606C5"/>
    <w:rsid w:val="573A3ECB"/>
    <w:rsid w:val="573F15EA"/>
    <w:rsid w:val="57607DD5"/>
    <w:rsid w:val="57615E14"/>
    <w:rsid w:val="57633B34"/>
    <w:rsid w:val="5765719A"/>
    <w:rsid w:val="57692714"/>
    <w:rsid w:val="576B22D6"/>
    <w:rsid w:val="577D0987"/>
    <w:rsid w:val="57822F22"/>
    <w:rsid w:val="579F0264"/>
    <w:rsid w:val="57A32F10"/>
    <w:rsid w:val="57B36157"/>
    <w:rsid w:val="57BF2D4E"/>
    <w:rsid w:val="57D63BF4"/>
    <w:rsid w:val="57DF5BBB"/>
    <w:rsid w:val="57E132F0"/>
    <w:rsid w:val="57E43D72"/>
    <w:rsid w:val="57E94E70"/>
    <w:rsid w:val="57F14ED1"/>
    <w:rsid w:val="580815C7"/>
    <w:rsid w:val="580A1AEF"/>
    <w:rsid w:val="580E05A5"/>
    <w:rsid w:val="581754FA"/>
    <w:rsid w:val="581A61D6"/>
    <w:rsid w:val="582157B7"/>
    <w:rsid w:val="58216C5D"/>
    <w:rsid w:val="58337298"/>
    <w:rsid w:val="583D1F2E"/>
    <w:rsid w:val="58431C43"/>
    <w:rsid w:val="584F05EC"/>
    <w:rsid w:val="585A65D3"/>
    <w:rsid w:val="58607961"/>
    <w:rsid w:val="58610DB0"/>
    <w:rsid w:val="586423C0"/>
    <w:rsid w:val="5888269C"/>
    <w:rsid w:val="588B0E82"/>
    <w:rsid w:val="588E44CE"/>
    <w:rsid w:val="588F68B0"/>
    <w:rsid w:val="58910788"/>
    <w:rsid w:val="589947AD"/>
    <w:rsid w:val="589A6ACB"/>
    <w:rsid w:val="58AB3F87"/>
    <w:rsid w:val="58AB69B6"/>
    <w:rsid w:val="58B632C9"/>
    <w:rsid w:val="58CB127E"/>
    <w:rsid w:val="58CB38C0"/>
    <w:rsid w:val="58CC688F"/>
    <w:rsid w:val="58D77A64"/>
    <w:rsid w:val="58DD5567"/>
    <w:rsid w:val="58E14F46"/>
    <w:rsid w:val="58F509F1"/>
    <w:rsid w:val="590A3C4A"/>
    <w:rsid w:val="590B3D71"/>
    <w:rsid w:val="590E5520"/>
    <w:rsid w:val="59116E1E"/>
    <w:rsid w:val="59172716"/>
    <w:rsid w:val="591A7A8D"/>
    <w:rsid w:val="592A069B"/>
    <w:rsid w:val="592A0828"/>
    <w:rsid w:val="59411F8B"/>
    <w:rsid w:val="59480B21"/>
    <w:rsid w:val="59526DEB"/>
    <w:rsid w:val="595A75AF"/>
    <w:rsid w:val="595B7500"/>
    <w:rsid w:val="595C45CC"/>
    <w:rsid w:val="59615F2E"/>
    <w:rsid w:val="59666CA7"/>
    <w:rsid w:val="597F5F5D"/>
    <w:rsid w:val="598319EB"/>
    <w:rsid w:val="59913375"/>
    <w:rsid w:val="59B73695"/>
    <w:rsid w:val="59BC6766"/>
    <w:rsid w:val="59C12681"/>
    <w:rsid w:val="59C208D3"/>
    <w:rsid w:val="59D538CC"/>
    <w:rsid w:val="59D570D3"/>
    <w:rsid w:val="59DA281A"/>
    <w:rsid w:val="59EF482F"/>
    <w:rsid w:val="5A07278A"/>
    <w:rsid w:val="5A0E1D6B"/>
    <w:rsid w:val="5A102A00"/>
    <w:rsid w:val="5A19111B"/>
    <w:rsid w:val="5A2E0C74"/>
    <w:rsid w:val="5A2E7404"/>
    <w:rsid w:val="5A3F0176"/>
    <w:rsid w:val="5A4A3D73"/>
    <w:rsid w:val="5A4F5EDF"/>
    <w:rsid w:val="5A6B6F88"/>
    <w:rsid w:val="5A7122F9"/>
    <w:rsid w:val="5A71428A"/>
    <w:rsid w:val="5A7476F4"/>
    <w:rsid w:val="5A764281"/>
    <w:rsid w:val="5A771D26"/>
    <w:rsid w:val="5A7913B5"/>
    <w:rsid w:val="5A7F3F9C"/>
    <w:rsid w:val="5A8738CB"/>
    <w:rsid w:val="5A8D335F"/>
    <w:rsid w:val="5A9D3AA9"/>
    <w:rsid w:val="5AA04554"/>
    <w:rsid w:val="5AB87947"/>
    <w:rsid w:val="5AC27BA3"/>
    <w:rsid w:val="5AC7349B"/>
    <w:rsid w:val="5AD20FEA"/>
    <w:rsid w:val="5ADD34EB"/>
    <w:rsid w:val="5AF727FF"/>
    <w:rsid w:val="5AFC4A3A"/>
    <w:rsid w:val="5AFD547C"/>
    <w:rsid w:val="5B050D18"/>
    <w:rsid w:val="5B084A0C"/>
    <w:rsid w:val="5B394FE8"/>
    <w:rsid w:val="5B48496A"/>
    <w:rsid w:val="5B4867ED"/>
    <w:rsid w:val="5B726329"/>
    <w:rsid w:val="5B7B036D"/>
    <w:rsid w:val="5B801119"/>
    <w:rsid w:val="5B8E58AF"/>
    <w:rsid w:val="5BA843A6"/>
    <w:rsid w:val="5BB33B2B"/>
    <w:rsid w:val="5BC42F58"/>
    <w:rsid w:val="5BCA3A6F"/>
    <w:rsid w:val="5BCA763E"/>
    <w:rsid w:val="5BCF2A63"/>
    <w:rsid w:val="5BD03959"/>
    <w:rsid w:val="5BD60FD7"/>
    <w:rsid w:val="5BF31218"/>
    <w:rsid w:val="5BF572B0"/>
    <w:rsid w:val="5C076A71"/>
    <w:rsid w:val="5C1F16D7"/>
    <w:rsid w:val="5C252CA5"/>
    <w:rsid w:val="5C25514A"/>
    <w:rsid w:val="5C290ECF"/>
    <w:rsid w:val="5C3431E0"/>
    <w:rsid w:val="5C35398F"/>
    <w:rsid w:val="5C415841"/>
    <w:rsid w:val="5C484BB0"/>
    <w:rsid w:val="5C5123E2"/>
    <w:rsid w:val="5C514331"/>
    <w:rsid w:val="5C6E4D42"/>
    <w:rsid w:val="5C7A5495"/>
    <w:rsid w:val="5C895CAC"/>
    <w:rsid w:val="5C9238ED"/>
    <w:rsid w:val="5C935450"/>
    <w:rsid w:val="5CA478A4"/>
    <w:rsid w:val="5CAF2C65"/>
    <w:rsid w:val="5CB00EB7"/>
    <w:rsid w:val="5CB10493"/>
    <w:rsid w:val="5CB73125"/>
    <w:rsid w:val="5CBA122E"/>
    <w:rsid w:val="5CBA1D36"/>
    <w:rsid w:val="5CC06080"/>
    <w:rsid w:val="5CC07647"/>
    <w:rsid w:val="5CC93411"/>
    <w:rsid w:val="5CCB49E0"/>
    <w:rsid w:val="5CCC6CCE"/>
    <w:rsid w:val="5CEC2922"/>
    <w:rsid w:val="5CFE48AD"/>
    <w:rsid w:val="5D14749F"/>
    <w:rsid w:val="5D186267"/>
    <w:rsid w:val="5D2A17CE"/>
    <w:rsid w:val="5D2D5717"/>
    <w:rsid w:val="5D2E002E"/>
    <w:rsid w:val="5D3A69D3"/>
    <w:rsid w:val="5D42488D"/>
    <w:rsid w:val="5D475B2E"/>
    <w:rsid w:val="5D5201C0"/>
    <w:rsid w:val="5D5B2B0C"/>
    <w:rsid w:val="5D69430C"/>
    <w:rsid w:val="5D6B2B94"/>
    <w:rsid w:val="5D850596"/>
    <w:rsid w:val="5D861C18"/>
    <w:rsid w:val="5D8A0FD0"/>
    <w:rsid w:val="5D9B1B67"/>
    <w:rsid w:val="5D9C38A4"/>
    <w:rsid w:val="5DA84284"/>
    <w:rsid w:val="5DAE6409"/>
    <w:rsid w:val="5DAF5613"/>
    <w:rsid w:val="5DC170F4"/>
    <w:rsid w:val="5DD1655A"/>
    <w:rsid w:val="5DD24E5D"/>
    <w:rsid w:val="5DE0696A"/>
    <w:rsid w:val="5DED0D3E"/>
    <w:rsid w:val="5DFC31B0"/>
    <w:rsid w:val="5E113E3B"/>
    <w:rsid w:val="5E2818A0"/>
    <w:rsid w:val="5E4C6166"/>
    <w:rsid w:val="5E521189"/>
    <w:rsid w:val="5E5A3B17"/>
    <w:rsid w:val="5E5E4943"/>
    <w:rsid w:val="5E7162C5"/>
    <w:rsid w:val="5E7411E4"/>
    <w:rsid w:val="5E764C6B"/>
    <w:rsid w:val="5E7876AA"/>
    <w:rsid w:val="5E830357"/>
    <w:rsid w:val="5E837606"/>
    <w:rsid w:val="5E9A0A2B"/>
    <w:rsid w:val="5E9D190F"/>
    <w:rsid w:val="5EA70608"/>
    <w:rsid w:val="5ECC2E23"/>
    <w:rsid w:val="5EDF6FF3"/>
    <w:rsid w:val="5EE035AA"/>
    <w:rsid w:val="5EEA122D"/>
    <w:rsid w:val="5EF449C7"/>
    <w:rsid w:val="5EF87EC5"/>
    <w:rsid w:val="5EFC4888"/>
    <w:rsid w:val="5EFF6126"/>
    <w:rsid w:val="5F117109"/>
    <w:rsid w:val="5F125E59"/>
    <w:rsid w:val="5F2142EE"/>
    <w:rsid w:val="5F21609C"/>
    <w:rsid w:val="5F2D2805"/>
    <w:rsid w:val="5F302094"/>
    <w:rsid w:val="5F342CE9"/>
    <w:rsid w:val="5F5D0E3D"/>
    <w:rsid w:val="5F645F89"/>
    <w:rsid w:val="5F6E604F"/>
    <w:rsid w:val="5F8E562C"/>
    <w:rsid w:val="5F8F71EC"/>
    <w:rsid w:val="5F93061C"/>
    <w:rsid w:val="5FB13B07"/>
    <w:rsid w:val="5FB62A60"/>
    <w:rsid w:val="5FCB5FE5"/>
    <w:rsid w:val="5FCE4A2E"/>
    <w:rsid w:val="5FD3347D"/>
    <w:rsid w:val="5FD96977"/>
    <w:rsid w:val="5FE71A9A"/>
    <w:rsid w:val="60114363"/>
    <w:rsid w:val="6013283E"/>
    <w:rsid w:val="601D2D07"/>
    <w:rsid w:val="602A2D2E"/>
    <w:rsid w:val="602D1FF5"/>
    <w:rsid w:val="603637CE"/>
    <w:rsid w:val="604D6D37"/>
    <w:rsid w:val="605A37BF"/>
    <w:rsid w:val="605E0295"/>
    <w:rsid w:val="605F25C4"/>
    <w:rsid w:val="606A75CF"/>
    <w:rsid w:val="60786090"/>
    <w:rsid w:val="60795A64"/>
    <w:rsid w:val="607E751E"/>
    <w:rsid w:val="60803E67"/>
    <w:rsid w:val="60813716"/>
    <w:rsid w:val="608323B3"/>
    <w:rsid w:val="60837689"/>
    <w:rsid w:val="608763D3"/>
    <w:rsid w:val="608F1A59"/>
    <w:rsid w:val="609D4E6C"/>
    <w:rsid w:val="60BA0556"/>
    <w:rsid w:val="60CA2662"/>
    <w:rsid w:val="60D92ABB"/>
    <w:rsid w:val="60EE4651"/>
    <w:rsid w:val="60F3284E"/>
    <w:rsid w:val="60F90953"/>
    <w:rsid w:val="6109503A"/>
    <w:rsid w:val="610E7B5A"/>
    <w:rsid w:val="61102019"/>
    <w:rsid w:val="611063C8"/>
    <w:rsid w:val="612200CA"/>
    <w:rsid w:val="61250763"/>
    <w:rsid w:val="61306A6A"/>
    <w:rsid w:val="6139231D"/>
    <w:rsid w:val="614222FA"/>
    <w:rsid w:val="61480013"/>
    <w:rsid w:val="614F278E"/>
    <w:rsid w:val="616B0750"/>
    <w:rsid w:val="61710DEE"/>
    <w:rsid w:val="617C580C"/>
    <w:rsid w:val="61972208"/>
    <w:rsid w:val="61972646"/>
    <w:rsid w:val="619F7579"/>
    <w:rsid w:val="61A529F3"/>
    <w:rsid w:val="61B56F70"/>
    <w:rsid w:val="61B9080E"/>
    <w:rsid w:val="61CA0C01"/>
    <w:rsid w:val="61D30A56"/>
    <w:rsid w:val="61D82156"/>
    <w:rsid w:val="61DA771F"/>
    <w:rsid w:val="61DF5D9B"/>
    <w:rsid w:val="61E06EDF"/>
    <w:rsid w:val="61EB473F"/>
    <w:rsid w:val="61F86D0B"/>
    <w:rsid w:val="62045801"/>
    <w:rsid w:val="62083F1D"/>
    <w:rsid w:val="62131FDF"/>
    <w:rsid w:val="62166B45"/>
    <w:rsid w:val="62206ADF"/>
    <w:rsid w:val="622673FB"/>
    <w:rsid w:val="622B0FE0"/>
    <w:rsid w:val="623065F6"/>
    <w:rsid w:val="62382C58"/>
    <w:rsid w:val="62407212"/>
    <w:rsid w:val="624520A2"/>
    <w:rsid w:val="6246234C"/>
    <w:rsid w:val="624B5DEA"/>
    <w:rsid w:val="624C5BA3"/>
    <w:rsid w:val="626A7C54"/>
    <w:rsid w:val="626A7D5A"/>
    <w:rsid w:val="6283706E"/>
    <w:rsid w:val="62982DF4"/>
    <w:rsid w:val="62991CA2"/>
    <w:rsid w:val="62C04FBD"/>
    <w:rsid w:val="62C52EB2"/>
    <w:rsid w:val="62CF7BBD"/>
    <w:rsid w:val="62D6719E"/>
    <w:rsid w:val="62E726D3"/>
    <w:rsid w:val="62EF5910"/>
    <w:rsid w:val="63104925"/>
    <w:rsid w:val="631818F1"/>
    <w:rsid w:val="63293771"/>
    <w:rsid w:val="632B117F"/>
    <w:rsid w:val="633A3BD0"/>
    <w:rsid w:val="633B5133"/>
    <w:rsid w:val="634C56B2"/>
    <w:rsid w:val="634E7545"/>
    <w:rsid w:val="634F2DBE"/>
    <w:rsid w:val="63546CE0"/>
    <w:rsid w:val="635527B8"/>
    <w:rsid w:val="63585E05"/>
    <w:rsid w:val="63807109"/>
    <w:rsid w:val="63844972"/>
    <w:rsid w:val="638B7F88"/>
    <w:rsid w:val="63AC4286"/>
    <w:rsid w:val="63AE0D4F"/>
    <w:rsid w:val="63BC271D"/>
    <w:rsid w:val="63BC7657"/>
    <w:rsid w:val="63C565DC"/>
    <w:rsid w:val="63CA5388"/>
    <w:rsid w:val="63CB65D6"/>
    <w:rsid w:val="63CF256B"/>
    <w:rsid w:val="63D46A06"/>
    <w:rsid w:val="63D47B81"/>
    <w:rsid w:val="63D63F11"/>
    <w:rsid w:val="63D86125"/>
    <w:rsid w:val="63E37DC4"/>
    <w:rsid w:val="63ED0BBF"/>
    <w:rsid w:val="63F21DB5"/>
    <w:rsid w:val="63F83144"/>
    <w:rsid w:val="63FB450C"/>
    <w:rsid w:val="64016386"/>
    <w:rsid w:val="64030141"/>
    <w:rsid w:val="64050A1F"/>
    <w:rsid w:val="640B17D2"/>
    <w:rsid w:val="641B57B0"/>
    <w:rsid w:val="64206B9B"/>
    <w:rsid w:val="642A77A1"/>
    <w:rsid w:val="64312F85"/>
    <w:rsid w:val="643671CA"/>
    <w:rsid w:val="643B19AE"/>
    <w:rsid w:val="64491C9C"/>
    <w:rsid w:val="644F7208"/>
    <w:rsid w:val="64660440"/>
    <w:rsid w:val="64763B09"/>
    <w:rsid w:val="64781A61"/>
    <w:rsid w:val="648226D3"/>
    <w:rsid w:val="64854B73"/>
    <w:rsid w:val="64965B63"/>
    <w:rsid w:val="649B2053"/>
    <w:rsid w:val="64A13B2C"/>
    <w:rsid w:val="64BF6A9E"/>
    <w:rsid w:val="64C71494"/>
    <w:rsid w:val="64C76B3D"/>
    <w:rsid w:val="64D12312"/>
    <w:rsid w:val="64D15221"/>
    <w:rsid w:val="64E262CE"/>
    <w:rsid w:val="64E317FD"/>
    <w:rsid w:val="64E55F38"/>
    <w:rsid w:val="64EC2CA8"/>
    <w:rsid w:val="64FE0438"/>
    <w:rsid w:val="65051FBC"/>
    <w:rsid w:val="6511270F"/>
    <w:rsid w:val="651641C9"/>
    <w:rsid w:val="65206159"/>
    <w:rsid w:val="652914E8"/>
    <w:rsid w:val="65293587"/>
    <w:rsid w:val="652A0C81"/>
    <w:rsid w:val="65312DB1"/>
    <w:rsid w:val="653D3504"/>
    <w:rsid w:val="653D59BF"/>
    <w:rsid w:val="654F34D6"/>
    <w:rsid w:val="655F0F83"/>
    <w:rsid w:val="656676B4"/>
    <w:rsid w:val="65690BD8"/>
    <w:rsid w:val="656B62D3"/>
    <w:rsid w:val="656F1025"/>
    <w:rsid w:val="6572283C"/>
    <w:rsid w:val="658610DA"/>
    <w:rsid w:val="658B24C1"/>
    <w:rsid w:val="659D2CB2"/>
    <w:rsid w:val="65B5753E"/>
    <w:rsid w:val="65C11721"/>
    <w:rsid w:val="65C6799D"/>
    <w:rsid w:val="65CE6852"/>
    <w:rsid w:val="65D5198E"/>
    <w:rsid w:val="65DE1113"/>
    <w:rsid w:val="65E16585"/>
    <w:rsid w:val="66014531"/>
    <w:rsid w:val="660E2880"/>
    <w:rsid w:val="661E50E3"/>
    <w:rsid w:val="662D482C"/>
    <w:rsid w:val="663400F9"/>
    <w:rsid w:val="66366338"/>
    <w:rsid w:val="663E0BF4"/>
    <w:rsid w:val="663E7534"/>
    <w:rsid w:val="66430FEE"/>
    <w:rsid w:val="664E720E"/>
    <w:rsid w:val="66541127"/>
    <w:rsid w:val="665925BF"/>
    <w:rsid w:val="6659436D"/>
    <w:rsid w:val="666F2680"/>
    <w:rsid w:val="667B1633"/>
    <w:rsid w:val="66805D9E"/>
    <w:rsid w:val="66860EDB"/>
    <w:rsid w:val="66CB20A8"/>
    <w:rsid w:val="66CD08B8"/>
    <w:rsid w:val="66D41C46"/>
    <w:rsid w:val="66D7138E"/>
    <w:rsid w:val="66DE4873"/>
    <w:rsid w:val="6703252B"/>
    <w:rsid w:val="67103B55"/>
    <w:rsid w:val="67114C48"/>
    <w:rsid w:val="67153DCD"/>
    <w:rsid w:val="673E681D"/>
    <w:rsid w:val="67412FE8"/>
    <w:rsid w:val="67452E4F"/>
    <w:rsid w:val="676453F8"/>
    <w:rsid w:val="677700BB"/>
    <w:rsid w:val="678436F8"/>
    <w:rsid w:val="67902011"/>
    <w:rsid w:val="679338AF"/>
    <w:rsid w:val="67947A9A"/>
    <w:rsid w:val="67965D0E"/>
    <w:rsid w:val="679C6C08"/>
    <w:rsid w:val="679F35FC"/>
    <w:rsid w:val="679F4002"/>
    <w:rsid w:val="67A07D7A"/>
    <w:rsid w:val="67A45EAE"/>
    <w:rsid w:val="67B57CC9"/>
    <w:rsid w:val="67D22629"/>
    <w:rsid w:val="67DB564E"/>
    <w:rsid w:val="67E51242"/>
    <w:rsid w:val="67EE6D37"/>
    <w:rsid w:val="67F65BEC"/>
    <w:rsid w:val="67FF0354"/>
    <w:rsid w:val="68024591"/>
    <w:rsid w:val="680F6ECB"/>
    <w:rsid w:val="68142082"/>
    <w:rsid w:val="68297D70"/>
    <w:rsid w:val="68456970"/>
    <w:rsid w:val="68456F93"/>
    <w:rsid w:val="684F0414"/>
    <w:rsid w:val="686226DB"/>
    <w:rsid w:val="686D5EAE"/>
    <w:rsid w:val="6873723D"/>
    <w:rsid w:val="6882580C"/>
    <w:rsid w:val="68957B82"/>
    <w:rsid w:val="68A51D4B"/>
    <w:rsid w:val="68A8338A"/>
    <w:rsid w:val="68BB30BE"/>
    <w:rsid w:val="68CA77A4"/>
    <w:rsid w:val="68D26659"/>
    <w:rsid w:val="68E1064A"/>
    <w:rsid w:val="68ED5241"/>
    <w:rsid w:val="68F060CF"/>
    <w:rsid w:val="691531EA"/>
    <w:rsid w:val="691F7F92"/>
    <w:rsid w:val="69254CC5"/>
    <w:rsid w:val="69296B69"/>
    <w:rsid w:val="6938470E"/>
    <w:rsid w:val="694C2FB7"/>
    <w:rsid w:val="695333EF"/>
    <w:rsid w:val="695F613F"/>
    <w:rsid w:val="69635503"/>
    <w:rsid w:val="696C042A"/>
    <w:rsid w:val="696E5D98"/>
    <w:rsid w:val="69754B58"/>
    <w:rsid w:val="69763488"/>
    <w:rsid w:val="697D4481"/>
    <w:rsid w:val="698618B6"/>
    <w:rsid w:val="699807EF"/>
    <w:rsid w:val="69981B19"/>
    <w:rsid w:val="69B63885"/>
    <w:rsid w:val="69BF098B"/>
    <w:rsid w:val="69CB5582"/>
    <w:rsid w:val="69DB32EB"/>
    <w:rsid w:val="69F40ABC"/>
    <w:rsid w:val="69F71BB5"/>
    <w:rsid w:val="6A0A29E5"/>
    <w:rsid w:val="6A0B1E23"/>
    <w:rsid w:val="6A107439"/>
    <w:rsid w:val="6A1862EE"/>
    <w:rsid w:val="6A23458A"/>
    <w:rsid w:val="6A2773CB"/>
    <w:rsid w:val="6A3053E5"/>
    <w:rsid w:val="6A3C13E7"/>
    <w:rsid w:val="6A3D3FA6"/>
    <w:rsid w:val="6A3E4446"/>
    <w:rsid w:val="6A3E73CA"/>
    <w:rsid w:val="6A503CD9"/>
    <w:rsid w:val="6A570BC4"/>
    <w:rsid w:val="6A5D01A4"/>
    <w:rsid w:val="6A67569D"/>
    <w:rsid w:val="6A6C0D78"/>
    <w:rsid w:val="6A711FDD"/>
    <w:rsid w:val="6A843983"/>
    <w:rsid w:val="6A914C72"/>
    <w:rsid w:val="6A9B608D"/>
    <w:rsid w:val="6A9C60B3"/>
    <w:rsid w:val="6AA34B6F"/>
    <w:rsid w:val="6AA87672"/>
    <w:rsid w:val="6AAD0411"/>
    <w:rsid w:val="6AB51D8E"/>
    <w:rsid w:val="6AB60112"/>
    <w:rsid w:val="6ACC5741"/>
    <w:rsid w:val="6ADF0BF5"/>
    <w:rsid w:val="6AE4490D"/>
    <w:rsid w:val="6AF208ED"/>
    <w:rsid w:val="6AF530C4"/>
    <w:rsid w:val="6AF72451"/>
    <w:rsid w:val="6B090119"/>
    <w:rsid w:val="6B0A20DA"/>
    <w:rsid w:val="6B361121"/>
    <w:rsid w:val="6B3D1887"/>
    <w:rsid w:val="6B4A697B"/>
    <w:rsid w:val="6B4F3633"/>
    <w:rsid w:val="6B504A37"/>
    <w:rsid w:val="6B67752D"/>
    <w:rsid w:val="6B7536A6"/>
    <w:rsid w:val="6B7C4171"/>
    <w:rsid w:val="6B83116B"/>
    <w:rsid w:val="6B881251"/>
    <w:rsid w:val="6B8A1377"/>
    <w:rsid w:val="6B8B5DEF"/>
    <w:rsid w:val="6BA760AE"/>
    <w:rsid w:val="6BB6239A"/>
    <w:rsid w:val="6BD149A6"/>
    <w:rsid w:val="6BDD0871"/>
    <w:rsid w:val="6BE1615D"/>
    <w:rsid w:val="6BE16F3D"/>
    <w:rsid w:val="6BE91CF0"/>
    <w:rsid w:val="6BEB1F0C"/>
    <w:rsid w:val="6C1F3963"/>
    <w:rsid w:val="6C270BB5"/>
    <w:rsid w:val="6C2B336D"/>
    <w:rsid w:val="6C2E4910"/>
    <w:rsid w:val="6C301D52"/>
    <w:rsid w:val="6C311145"/>
    <w:rsid w:val="6C3231C9"/>
    <w:rsid w:val="6C33740F"/>
    <w:rsid w:val="6C37015B"/>
    <w:rsid w:val="6C3C4515"/>
    <w:rsid w:val="6C3F7B62"/>
    <w:rsid w:val="6C472EBA"/>
    <w:rsid w:val="6C4B72A2"/>
    <w:rsid w:val="6C523E11"/>
    <w:rsid w:val="6C57134F"/>
    <w:rsid w:val="6C733CAF"/>
    <w:rsid w:val="6C75701C"/>
    <w:rsid w:val="6C77554D"/>
    <w:rsid w:val="6C811406"/>
    <w:rsid w:val="6C841A18"/>
    <w:rsid w:val="6C867EA1"/>
    <w:rsid w:val="6C870834"/>
    <w:rsid w:val="6C9717C1"/>
    <w:rsid w:val="6C9A7CA4"/>
    <w:rsid w:val="6CA67C42"/>
    <w:rsid w:val="6CAC53A6"/>
    <w:rsid w:val="6CE07597"/>
    <w:rsid w:val="6CF44DF0"/>
    <w:rsid w:val="6D01323E"/>
    <w:rsid w:val="6D080BFC"/>
    <w:rsid w:val="6D1301DD"/>
    <w:rsid w:val="6D2D7D74"/>
    <w:rsid w:val="6D2E7DB0"/>
    <w:rsid w:val="6D3D26F5"/>
    <w:rsid w:val="6D7221B9"/>
    <w:rsid w:val="6D7348E6"/>
    <w:rsid w:val="6D7B2E1B"/>
    <w:rsid w:val="6D8D463F"/>
    <w:rsid w:val="6DAC56CB"/>
    <w:rsid w:val="6DAE3BB3"/>
    <w:rsid w:val="6DBA4080"/>
    <w:rsid w:val="6DC57774"/>
    <w:rsid w:val="6DC70BA6"/>
    <w:rsid w:val="6DD0777C"/>
    <w:rsid w:val="6DF66946"/>
    <w:rsid w:val="6E1F40EF"/>
    <w:rsid w:val="6E1F6F42"/>
    <w:rsid w:val="6E26547D"/>
    <w:rsid w:val="6E2930B2"/>
    <w:rsid w:val="6E423106"/>
    <w:rsid w:val="6E6443FB"/>
    <w:rsid w:val="6E657188"/>
    <w:rsid w:val="6E697118"/>
    <w:rsid w:val="6E712470"/>
    <w:rsid w:val="6E745FCF"/>
    <w:rsid w:val="6E766082"/>
    <w:rsid w:val="6EA71476"/>
    <w:rsid w:val="6EA7703E"/>
    <w:rsid w:val="6EAB14DE"/>
    <w:rsid w:val="6EBC4CEA"/>
    <w:rsid w:val="6ECA1931"/>
    <w:rsid w:val="6EDC5B3C"/>
    <w:rsid w:val="6EF72976"/>
    <w:rsid w:val="6F060E0B"/>
    <w:rsid w:val="6F1277AF"/>
    <w:rsid w:val="6F2B0871"/>
    <w:rsid w:val="6F2B2817"/>
    <w:rsid w:val="6F2E4DF8"/>
    <w:rsid w:val="6F370026"/>
    <w:rsid w:val="6F3922E7"/>
    <w:rsid w:val="6F3A69AC"/>
    <w:rsid w:val="6F3E739F"/>
    <w:rsid w:val="6F3E7940"/>
    <w:rsid w:val="6F490CF7"/>
    <w:rsid w:val="6F4B7148"/>
    <w:rsid w:val="6F521C26"/>
    <w:rsid w:val="6F5E79FA"/>
    <w:rsid w:val="6F6447C8"/>
    <w:rsid w:val="6F7F353C"/>
    <w:rsid w:val="6F886CB6"/>
    <w:rsid w:val="6F8E1786"/>
    <w:rsid w:val="6F944668"/>
    <w:rsid w:val="6FB07A4A"/>
    <w:rsid w:val="6FC445FC"/>
    <w:rsid w:val="6FC47DD7"/>
    <w:rsid w:val="6FD21102"/>
    <w:rsid w:val="6FD66A2F"/>
    <w:rsid w:val="6FE23626"/>
    <w:rsid w:val="7000585A"/>
    <w:rsid w:val="70063F0B"/>
    <w:rsid w:val="700B75DD"/>
    <w:rsid w:val="701D28B0"/>
    <w:rsid w:val="703A1840"/>
    <w:rsid w:val="704C0A9F"/>
    <w:rsid w:val="70614C44"/>
    <w:rsid w:val="70630524"/>
    <w:rsid w:val="70650803"/>
    <w:rsid w:val="709A7A5C"/>
    <w:rsid w:val="70A02B99"/>
    <w:rsid w:val="70A61395"/>
    <w:rsid w:val="70AE079F"/>
    <w:rsid w:val="70C62C01"/>
    <w:rsid w:val="70C66AA3"/>
    <w:rsid w:val="70C90342"/>
    <w:rsid w:val="70D07EC3"/>
    <w:rsid w:val="70D34D1C"/>
    <w:rsid w:val="70D671CA"/>
    <w:rsid w:val="70F51845"/>
    <w:rsid w:val="710475CC"/>
    <w:rsid w:val="71105F71"/>
    <w:rsid w:val="711760ED"/>
    <w:rsid w:val="712D267F"/>
    <w:rsid w:val="713734FD"/>
    <w:rsid w:val="71381023"/>
    <w:rsid w:val="713A7A58"/>
    <w:rsid w:val="714C77AD"/>
    <w:rsid w:val="715813A9"/>
    <w:rsid w:val="71652FCA"/>
    <w:rsid w:val="7169742F"/>
    <w:rsid w:val="71702B61"/>
    <w:rsid w:val="717633D4"/>
    <w:rsid w:val="717E7343"/>
    <w:rsid w:val="718639F8"/>
    <w:rsid w:val="7189187F"/>
    <w:rsid w:val="718A7AD1"/>
    <w:rsid w:val="718B7919"/>
    <w:rsid w:val="719055EB"/>
    <w:rsid w:val="71AB5C99"/>
    <w:rsid w:val="71C81A2E"/>
    <w:rsid w:val="71C83C0D"/>
    <w:rsid w:val="71C9236E"/>
    <w:rsid w:val="71CB13C6"/>
    <w:rsid w:val="71DE04A1"/>
    <w:rsid w:val="71EB0B34"/>
    <w:rsid w:val="71FE7A8B"/>
    <w:rsid w:val="72082C5F"/>
    <w:rsid w:val="72121874"/>
    <w:rsid w:val="72124153"/>
    <w:rsid w:val="72151633"/>
    <w:rsid w:val="72196CB2"/>
    <w:rsid w:val="721A240C"/>
    <w:rsid w:val="72210166"/>
    <w:rsid w:val="722A4EEC"/>
    <w:rsid w:val="722F2426"/>
    <w:rsid w:val="722F2786"/>
    <w:rsid w:val="72331F17"/>
    <w:rsid w:val="72451C4A"/>
    <w:rsid w:val="72457E9C"/>
    <w:rsid w:val="7252171A"/>
    <w:rsid w:val="725E2D0C"/>
    <w:rsid w:val="726C367A"/>
    <w:rsid w:val="72834520"/>
    <w:rsid w:val="72850298"/>
    <w:rsid w:val="72963DB4"/>
    <w:rsid w:val="72980141"/>
    <w:rsid w:val="72A008CA"/>
    <w:rsid w:val="72A32446"/>
    <w:rsid w:val="72A61A12"/>
    <w:rsid w:val="72B11011"/>
    <w:rsid w:val="72B11E4E"/>
    <w:rsid w:val="72C139C6"/>
    <w:rsid w:val="72C25048"/>
    <w:rsid w:val="72C47013"/>
    <w:rsid w:val="72C50C5D"/>
    <w:rsid w:val="72C964D9"/>
    <w:rsid w:val="72E15E16"/>
    <w:rsid w:val="72E82212"/>
    <w:rsid w:val="72E96A79"/>
    <w:rsid w:val="72EC2D3E"/>
    <w:rsid w:val="73025D8D"/>
    <w:rsid w:val="733314A0"/>
    <w:rsid w:val="734737A0"/>
    <w:rsid w:val="734E594C"/>
    <w:rsid w:val="735859AD"/>
    <w:rsid w:val="73602CDF"/>
    <w:rsid w:val="736C6A59"/>
    <w:rsid w:val="737D09BB"/>
    <w:rsid w:val="73A777C8"/>
    <w:rsid w:val="73AD5CF9"/>
    <w:rsid w:val="73BB0416"/>
    <w:rsid w:val="73FE4864"/>
    <w:rsid w:val="740A34E2"/>
    <w:rsid w:val="740E02D5"/>
    <w:rsid w:val="741E6BF6"/>
    <w:rsid w:val="7430541B"/>
    <w:rsid w:val="74305578"/>
    <w:rsid w:val="74345C0A"/>
    <w:rsid w:val="743E2DF5"/>
    <w:rsid w:val="744653EC"/>
    <w:rsid w:val="74466C8A"/>
    <w:rsid w:val="744F4027"/>
    <w:rsid w:val="744F5002"/>
    <w:rsid w:val="74547B5A"/>
    <w:rsid w:val="7461641C"/>
    <w:rsid w:val="74695B85"/>
    <w:rsid w:val="747A2CC0"/>
    <w:rsid w:val="749141B2"/>
    <w:rsid w:val="7499002B"/>
    <w:rsid w:val="749E5641"/>
    <w:rsid w:val="74A662B1"/>
    <w:rsid w:val="74C257D4"/>
    <w:rsid w:val="74C26BD2"/>
    <w:rsid w:val="74D424AE"/>
    <w:rsid w:val="74D5535B"/>
    <w:rsid w:val="74EA3555"/>
    <w:rsid w:val="74FC0CE6"/>
    <w:rsid w:val="74FF07D6"/>
    <w:rsid w:val="75286B3C"/>
    <w:rsid w:val="753164B5"/>
    <w:rsid w:val="754206C3"/>
    <w:rsid w:val="75660855"/>
    <w:rsid w:val="75662603"/>
    <w:rsid w:val="756E1F5A"/>
    <w:rsid w:val="75890E3D"/>
    <w:rsid w:val="758A3AB5"/>
    <w:rsid w:val="759233F8"/>
    <w:rsid w:val="759C7DD3"/>
    <w:rsid w:val="75B53949"/>
    <w:rsid w:val="75BF3AC1"/>
    <w:rsid w:val="75CA31C3"/>
    <w:rsid w:val="75F25C45"/>
    <w:rsid w:val="75F55735"/>
    <w:rsid w:val="760140DA"/>
    <w:rsid w:val="76023F3E"/>
    <w:rsid w:val="760A1BF9"/>
    <w:rsid w:val="762F6E99"/>
    <w:rsid w:val="76344D9B"/>
    <w:rsid w:val="763728B0"/>
    <w:rsid w:val="764566BC"/>
    <w:rsid w:val="765B783A"/>
    <w:rsid w:val="76612DCA"/>
    <w:rsid w:val="768F7938"/>
    <w:rsid w:val="769304F1"/>
    <w:rsid w:val="76A22E47"/>
    <w:rsid w:val="76A63469"/>
    <w:rsid w:val="76BC18B5"/>
    <w:rsid w:val="76C23880"/>
    <w:rsid w:val="76D25C7C"/>
    <w:rsid w:val="76DC5A9E"/>
    <w:rsid w:val="76E41A31"/>
    <w:rsid w:val="76E71B10"/>
    <w:rsid w:val="76EC4D8A"/>
    <w:rsid w:val="76ED2F4E"/>
    <w:rsid w:val="76F45266"/>
    <w:rsid w:val="76FB4FCD"/>
    <w:rsid w:val="77065E4C"/>
    <w:rsid w:val="770857E2"/>
    <w:rsid w:val="77182406"/>
    <w:rsid w:val="77246BF1"/>
    <w:rsid w:val="77361998"/>
    <w:rsid w:val="77493F8A"/>
    <w:rsid w:val="774F79E4"/>
    <w:rsid w:val="775E4B2C"/>
    <w:rsid w:val="775F34D3"/>
    <w:rsid w:val="777036F0"/>
    <w:rsid w:val="777C5762"/>
    <w:rsid w:val="777C7FB3"/>
    <w:rsid w:val="77892A5D"/>
    <w:rsid w:val="778B18EA"/>
    <w:rsid w:val="77964814"/>
    <w:rsid w:val="77A742BE"/>
    <w:rsid w:val="77A9308F"/>
    <w:rsid w:val="77C22A03"/>
    <w:rsid w:val="77D01FB6"/>
    <w:rsid w:val="77D74647"/>
    <w:rsid w:val="77D90C0A"/>
    <w:rsid w:val="77E81DBD"/>
    <w:rsid w:val="77EF5E14"/>
    <w:rsid w:val="77F70C20"/>
    <w:rsid w:val="77FA5285"/>
    <w:rsid w:val="78000AED"/>
    <w:rsid w:val="7821117E"/>
    <w:rsid w:val="78337E96"/>
    <w:rsid w:val="784323A8"/>
    <w:rsid w:val="785E5813"/>
    <w:rsid w:val="7866291A"/>
    <w:rsid w:val="78697846"/>
    <w:rsid w:val="787C4D04"/>
    <w:rsid w:val="788C05D2"/>
    <w:rsid w:val="78984D92"/>
    <w:rsid w:val="789D6EEF"/>
    <w:rsid w:val="78E0447A"/>
    <w:rsid w:val="78F2201B"/>
    <w:rsid w:val="78F73176"/>
    <w:rsid w:val="78F876FF"/>
    <w:rsid w:val="78FB1D83"/>
    <w:rsid w:val="78FD502C"/>
    <w:rsid w:val="792151BF"/>
    <w:rsid w:val="79352A18"/>
    <w:rsid w:val="793F0285"/>
    <w:rsid w:val="794C4611"/>
    <w:rsid w:val="79663B80"/>
    <w:rsid w:val="79795190"/>
    <w:rsid w:val="797F65A3"/>
    <w:rsid w:val="7986452E"/>
    <w:rsid w:val="798C44F2"/>
    <w:rsid w:val="7990032E"/>
    <w:rsid w:val="79942E72"/>
    <w:rsid w:val="79951709"/>
    <w:rsid w:val="79AB2CDA"/>
    <w:rsid w:val="79B80F53"/>
    <w:rsid w:val="79D2019E"/>
    <w:rsid w:val="79D33FDF"/>
    <w:rsid w:val="79D833A4"/>
    <w:rsid w:val="79DE4E5E"/>
    <w:rsid w:val="79ED4B6B"/>
    <w:rsid w:val="79FB12CF"/>
    <w:rsid w:val="7A0423EA"/>
    <w:rsid w:val="7A0A323E"/>
    <w:rsid w:val="7A100D8F"/>
    <w:rsid w:val="7A150154"/>
    <w:rsid w:val="7A1A1C0E"/>
    <w:rsid w:val="7A1F2213"/>
    <w:rsid w:val="7A50583C"/>
    <w:rsid w:val="7A5D7F56"/>
    <w:rsid w:val="7A723831"/>
    <w:rsid w:val="7A776C17"/>
    <w:rsid w:val="7A7E3F4B"/>
    <w:rsid w:val="7A8456EC"/>
    <w:rsid w:val="7A907BD8"/>
    <w:rsid w:val="7AA5772A"/>
    <w:rsid w:val="7AA95397"/>
    <w:rsid w:val="7AB1214E"/>
    <w:rsid w:val="7AC86D39"/>
    <w:rsid w:val="7AD313C8"/>
    <w:rsid w:val="7AD47FEE"/>
    <w:rsid w:val="7ADB139D"/>
    <w:rsid w:val="7AE01B6B"/>
    <w:rsid w:val="7AE04C06"/>
    <w:rsid w:val="7AE069B4"/>
    <w:rsid w:val="7AEA7832"/>
    <w:rsid w:val="7AEF0F24"/>
    <w:rsid w:val="7AFB1A3F"/>
    <w:rsid w:val="7B095FE9"/>
    <w:rsid w:val="7B1F5838"/>
    <w:rsid w:val="7B2833FE"/>
    <w:rsid w:val="7B3867F0"/>
    <w:rsid w:val="7B5A4286"/>
    <w:rsid w:val="7B5B24DE"/>
    <w:rsid w:val="7B5B2589"/>
    <w:rsid w:val="7B68314E"/>
    <w:rsid w:val="7B686FE8"/>
    <w:rsid w:val="7B694BFB"/>
    <w:rsid w:val="7B6D31DD"/>
    <w:rsid w:val="7B7643D6"/>
    <w:rsid w:val="7BB06386"/>
    <w:rsid w:val="7BBB794E"/>
    <w:rsid w:val="7BC50C65"/>
    <w:rsid w:val="7BC65BA9"/>
    <w:rsid w:val="7BC82BA0"/>
    <w:rsid w:val="7BD227A0"/>
    <w:rsid w:val="7BF45A26"/>
    <w:rsid w:val="7C0C5586"/>
    <w:rsid w:val="7C1101DE"/>
    <w:rsid w:val="7C1903CF"/>
    <w:rsid w:val="7C312790"/>
    <w:rsid w:val="7C3C2310"/>
    <w:rsid w:val="7C3D3992"/>
    <w:rsid w:val="7C447D43"/>
    <w:rsid w:val="7C4D40ED"/>
    <w:rsid w:val="7C507133"/>
    <w:rsid w:val="7C517AA2"/>
    <w:rsid w:val="7C8025FB"/>
    <w:rsid w:val="7C8C559B"/>
    <w:rsid w:val="7C923CDE"/>
    <w:rsid w:val="7CB225D2"/>
    <w:rsid w:val="7CB3260B"/>
    <w:rsid w:val="7CB93A97"/>
    <w:rsid w:val="7CBD6EEF"/>
    <w:rsid w:val="7CC6131E"/>
    <w:rsid w:val="7CD6006E"/>
    <w:rsid w:val="7D083F22"/>
    <w:rsid w:val="7D1011A5"/>
    <w:rsid w:val="7D1705D7"/>
    <w:rsid w:val="7D1868D9"/>
    <w:rsid w:val="7D1B3CD3"/>
    <w:rsid w:val="7D1E2798"/>
    <w:rsid w:val="7D2C7C8E"/>
    <w:rsid w:val="7D2E5FEB"/>
    <w:rsid w:val="7D2E64A1"/>
    <w:rsid w:val="7D2F0E56"/>
    <w:rsid w:val="7D43322A"/>
    <w:rsid w:val="7D556A2D"/>
    <w:rsid w:val="7D6424EE"/>
    <w:rsid w:val="7D6733BC"/>
    <w:rsid w:val="7D7B0742"/>
    <w:rsid w:val="7D7E7C62"/>
    <w:rsid w:val="7D9F4904"/>
    <w:rsid w:val="7DAB56AC"/>
    <w:rsid w:val="7DAC469A"/>
    <w:rsid w:val="7DAE0FEB"/>
    <w:rsid w:val="7DBD12AF"/>
    <w:rsid w:val="7DBE3A17"/>
    <w:rsid w:val="7DBF0B02"/>
    <w:rsid w:val="7DC12ACC"/>
    <w:rsid w:val="7DCE6F97"/>
    <w:rsid w:val="7DD82326"/>
    <w:rsid w:val="7DD87E16"/>
    <w:rsid w:val="7DE71E07"/>
    <w:rsid w:val="7DEE13E8"/>
    <w:rsid w:val="7DF85C09"/>
    <w:rsid w:val="7E0D4E48"/>
    <w:rsid w:val="7E1C0204"/>
    <w:rsid w:val="7E1D4160"/>
    <w:rsid w:val="7E262746"/>
    <w:rsid w:val="7E262D30"/>
    <w:rsid w:val="7E394D95"/>
    <w:rsid w:val="7E4912CF"/>
    <w:rsid w:val="7E494870"/>
    <w:rsid w:val="7E583504"/>
    <w:rsid w:val="7E5D0362"/>
    <w:rsid w:val="7E6D67B0"/>
    <w:rsid w:val="7E7670A4"/>
    <w:rsid w:val="7E8427C8"/>
    <w:rsid w:val="7E861620"/>
    <w:rsid w:val="7E885398"/>
    <w:rsid w:val="7E8F2BCB"/>
    <w:rsid w:val="7EBB5D06"/>
    <w:rsid w:val="7EBE7A3B"/>
    <w:rsid w:val="7EC4193B"/>
    <w:rsid w:val="7EC85D8C"/>
    <w:rsid w:val="7EEB619F"/>
    <w:rsid w:val="7EEC6743"/>
    <w:rsid w:val="7EF252E3"/>
    <w:rsid w:val="7EF31577"/>
    <w:rsid w:val="7F005876"/>
    <w:rsid w:val="7F1B445E"/>
    <w:rsid w:val="7F240BC8"/>
    <w:rsid w:val="7F2D7CEE"/>
    <w:rsid w:val="7F301779"/>
    <w:rsid w:val="7F3F64DC"/>
    <w:rsid w:val="7F4F4108"/>
    <w:rsid w:val="7F602C07"/>
    <w:rsid w:val="7F63761D"/>
    <w:rsid w:val="7F673200"/>
    <w:rsid w:val="7F6F6E0B"/>
    <w:rsid w:val="7F74591C"/>
    <w:rsid w:val="7F764099"/>
    <w:rsid w:val="7F82628B"/>
    <w:rsid w:val="7F833DB1"/>
    <w:rsid w:val="7F9D1317"/>
    <w:rsid w:val="7FAF201B"/>
    <w:rsid w:val="7FB923B7"/>
    <w:rsid w:val="7FBB3F4E"/>
    <w:rsid w:val="7FBB79EF"/>
    <w:rsid w:val="7FC22B2C"/>
    <w:rsid w:val="7FFC79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35" w:semiHidden="0" w:name="caption"/>
    <w:lsdException w:uiPriority="0" w:name="table of figures"/>
    <w:lsdException w:uiPriority="0" w:name="envelope address"/>
    <w:lsdException w:qFormat="1" w:unhideWhenUsed="0" w:uiPriority="0" w:semiHidden="0" w:name="envelope return"/>
    <w:lsdException w:qFormat="1" w:uiPriority="0" w:name="footnote reference"/>
    <w:lsdException w:qFormat="1" w:uiPriority="99" w:name="annotation reference"/>
    <w:lsdException w:uiPriority="0" w:name="line number"/>
    <w:lsdException w:uiPriority="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nhideWhenUsed="0" w:uiPriority="0" w:semiHidden="0" w:name="List Number 5"/>
    <w:lsdException w:qFormat="1" w:unhideWhenUsed="0" w:uiPriority="10" w:semiHidden="0" w:name="Title"/>
    <w:lsdException w:uiPriority="0" w:name="Closing"/>
    <w:lsdException w:uiPriority="0" w:name="Signature"/>
    <w:lsdException w:uiPriority="1" w:name="Default Paragraph Font"/>
    <w:lsdException w:qFormat="1"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napToGrid w:val="0"/>
      <w:spacing w:line="360" w:lineRule="auto"/>
      <w:ind w:firstLine="200" w:firstLineChars="200"/>
      <w:jc w:val="both"/>
    </w:pPr>
    <w:rPr>
      <w:rFonts w:ascii="Times New Roman" w:hAnsi="Times New Roman" w:eastAsia="仿宋_GB2312" w:cstheme="minorBidi"/>
      <w:sz w:val="28"/>
      <w:szCs w:val="22"/>
      <w:lang w:val="en-US" w:eastAsia="zh-CN" w:bidi="ar-SA"/>
    </w:rPr>
  </w:style>
  <w:style w:type="paragraph" w:styleId="2">
    <w:name w:val="heading 1"/>
    <w:basedOn w:val="1"/>
    <w:next w:val="1"/>
    <w:link w:val="80"/>
    <w:qFormat/>
    <w:uiPriority w:val="9"/>
    <w:pPr>
      <w:keepNext/>
      <w:keepLines/>
      <w:numPr>
        <w:ilvl w:val="0"/>
        <w:numId w:val="1"/>
      </w:numPr>
      <w:ind w:firstLineChars="0"/>
      <w:outlineLvl w:val="0"/>
    </w:pPr>
    <w:rPr>
      <w:rFonts w:cstheme="majorBidi"/>
      <w:b/>
      <w:bCs/>
      <w:szCs w:val="28"/>
    </w:rPr>
  </w:style>
  <w:style w:type="paragraph" w:styleId="3">
    <w:name w:val="heading 2"/>
    <w:basedOn w:val="1"/>
    <w:next w:val="1"/>
    <w:link w:val="49"/>
    <w:unhideWhenUsed/>
    <w:qFormat/>
    <w:uiPriority w:val="9"/>
    <w:pPr>
      <w:keepNext/>
      <w:keepLines/>
      <w:numPr>
        <w:ilvl w:val="1"/>
        <w:numId w:val="1"/>
      </w:numPr>
      <w:ind w:firstLineChars="0"/>
      <w:outlineLvl w:val="1"/>
    </w:pPr>
    <w:rPr>
      <w:rFonts w:cstheme="majorBidi"/>
      <w:b/>
      <w:bCs/>
      <w:szCs w:val="26"/>
    </w:rPr>
  </w:style>
  <w:style w:type="paragraph" w:styleId="4">
    <w:name w:val="heading 3"/>
    <w:basedOn w:val="1"/>
    <w:next w:val="1"/>
    <w:link w:val="73"/>
    <w:unhideWhenUsed/>
    <w:qFormat/>
    <w:uiPriority w:val="9"/>
    <w:pPr>
      <w:keepNext/>
      <w:keepLines/>
      <w:numPr>
        <w:ilvl w:val="2"/>
        <w:numId w:val="1"/>
      </w:numPr>
      <w:ind w:firstLineChars="0"/>
      <w:outlineLvl w:val="2"/>
    </w:pPr>
    <w:rPr>
      <w:rFonts w:cstheme="majorBidi"/>
      <w:b/>
      <w:bCs/>
    </w:rPr>
  </w:style>
  <w:style w:type="paragraph" w:styleId="5">
    <w:name w:val="heading 4"/>
    <w:basedOn w:val="1"/>
    <w:next w:val="1"/>
    <w:link w:val="81"/>
    <w:unhideWhenUsed/>
    <w:qFormat/>
    <w:uiPriority w:val="9"/>
    <w:pPr>
      <w:keepNext/>
      <w:keepLines/>
      <w:numPr>
        <w:ilvl w:val="3"/>
        <w:numId w:val="1"/>
      </w:numPr>
      <w:spacing w:before="200"/>
      <w:outlineLvl w:val="3"/>
    </w:pPr>
    <w:rPr>
      <w:rFonts w:asciiTheme="majorHAnsi" w:hAnsiTheme="majorHAnsi" w:eastAsiaTheme="majorEastAsia" w:cstheme="majorBidi"/>
      <w:b/>
      <w:bCs/>
      <w:i/>
      <w:iCs/>
    </w:rPr>
  </w:style>
  <w:style w:type="paragraph" w:styleId="6">
    <w:name w:val="heading 5"/>
    <w:basedOn w:val="1"/>
    <w:next w:val="1"/>
    <w:link w:val="82"/>
    <w:semiHidden/>
    <w:unhideWhenUsed/>
    <w:qFormat/>
    <w:uiPriority w:val="9"/>
    <w:pPr>
      <w:keepNext/>
      <w:keepLines/>
      <w:spacing w:before="200"/>
      <w:outlineLvl w:val="4"/>
    </w:pPr>
    <w:rPr>
      <w:rFonts w:asciiTheme="majorHAnsi" w:hAnsiTheme="majorHAnsi" w:eastAsiaTheme="majorEastAsia" w:cstheme="majorBidi"/>
      <w:color w:val="1F4E79" w:themeColor="accent1" w:themeShade="80"/>
    </w:rPr>
  </w:style>
  <w:style w:type="paragraph" w:styleId="7">
    <w:name w:val="heading 6"/>
    <w:basedOn w:val="1"/>
    <w:next w:val="1"/>
    <w:link w:val="83"/>
    <w:semiHidden/>
    <w:unhideWhenUsed/>
    <w:qFormat/>
    <w:uiPriority w:val="9"/>
    <w:pPr>
      <w:keepNext/>
      <w:keepLines/>
      <w:spacing w:before="200"/>
      <w:outlineLvl w:val="5"/>
    </w:pPr>
    <w:rPr>
      <w:rFonts w:asciiTheme="majorHAnsi" w:hAnsiTheme="majorHAnsi" w:eastAsiaTheme="majorEastAsia" w:cstheme="majorBidi"/>
      <w:i/>
      <w:iCs/>
      <w:color w:val="1F4E79" w:themeColor="accent1" w:themeShade="80"/>
    </w:rPr>
  </w:style>
  <w:style w:type="paragraph" w:styleId="8">
    <w:name w:val="heading 7"/>
    <w:basedOn w:val="1"/>
    <w:next w:val="1"/>
    <w:link w:val="84"/>
    <w:semiHidden/>
    <w:unhideWhenUsed/>
    <w:qFormat/>
    <w:uiPriority w:val="9"/>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85"/>
    <w:semiHidden/>
    <w:unhideWhenUsed/>
    <w:qFormat/>
    <w:uiPriority w:val="9"/>
    <w:pPr>
      <w:keepNext/>
      <w:keepLines/>
      <w:spacing w:before="200"/>
      <w:outlineLvl w:val="7"/>
    </w:pPr>
    <w:rPr>
      <w:rFonts w:asciiTheme="majorHAnsi" w:hAnsiTheme="majorHAnsi" w:eastAsiaTheme="majorEastAsia" w:cstheme="majorBidi"/>
      <w:color w:val="5B9BD5" w:themeColor="accent1"/>
      <w:sz w:val="20"/>
      <w:szCs w:val="20"/>
      <w14:textFill>
        <w14:solidFill>
          <w14:schemeClr w14:val="accent1"/>
        </w14:solidFill>
      </w14:textFill>
    </w:rPr>
  </w:style>
  <w:style w:type="paragraph" w:styleId="10">
    <w:name w:val="heading 9"/>
    <w:basedOn w:val="1"/>
    <w:next w:val="1"/>
    <w:link w:val="86"/>
    <w:semiHidden/>
    <w:unhideWhenUsed/>
    <w:qFormat/>
    <w:uiPriority w:val="9"/>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42">
    <w:name w:val="Default Paragraph Font"/>
    <w:semiHidden/>
    <w:unhideWhenUsed/>
    <w:uiPriority w:val="1"/>
  </w:style>
  <w:style w:type="table" w:default="1" w:styleId="40">
    <w:name w:val="Normal Table"/>
    <w:semiHidden/>
    <w:unhideWhenUsed/>
    <w:uiPriority w:val="99"/>
    <w:tblPr>
      <w:tblCellMar>
        <w:top w:w="0" w:type="dxa"/>
        <w:left w:w="108" w:type="dxa"/>
        <w:bottom w:w="0" w:type="dxa"/>
        <w:right w:w="108" w:type="dxa"/>
      </w:tblCellMar>
    </w:tblPr>
  </w:style>
  <w:style w:type="paragraph" w:styleId="11">
    <w:name w:val="table of authorities"/>
    <w:basedOn w:val="1"/>
    <w:next w:val="1"/>
    <w:unhideWhenUsed/>
    <w:qFormat/>
    <w:uiPriority w:val="99"/>
    <w:pPr>
      <w:ind w:left="420" w:leftChars="200"/>
    </w:pPr>
  </w:style>
  <w:style w:type="paragraph" w:styleId="12">
    <w:name w:val="index 8"/>
    <w:basedOn w:val="1"/>
    <w:next w:val="1"/>
    <w:qFormat/>
    <w:uiPriority w:val="0"/>
    <w:pPr>
      <w:ind w:left="2940"/>
      <w:jc w:val="center"/>
    </w:pPr>
  </w:style>
  <w:style w:type="paragraph" w:styleId="13">
    <w:name w:val="Normal Indent"/>
    <w:basedOn w:val="1"/>
    <w:qFormat/>
    <w:uiPriority w:val="0"/>
    <w:pPr>
      <w:wordWrap w:val="0"/>
      <w:ind w:left="3400"/>
    </w:pPr>
  </w:style>
  <w:style w:type="paragraph" w:styleId="14">
    <w:name w:val="caption"/>
    <w:basedOn w:val="1"/>
    <w:next w:val="1"/>
    <w:unhideWhenUsed/>
    <w:qFormat/>
    <w:uiPriority w:val="35"/>
    <w:pPr>
      <w:ind w:firstLine="0" w:firstLineChars="0"/>
      <w:jc w:val="center"/>
    </w:pPr>
    <w:rPr>
      <w:b/>
      <w:bCs/>
      <w:sz w:val="24"/>
      <w:szCs w:val="18"/>
    </w:rPr>
  </w:style>
  <w:style w:type="paragraph" w:styleId="15">
    <w:name w:val="annotation text"/>
    <w:basedOn w:val="1"/>
    <w:link w:val="56"/>
    <w:qFormat/>
    <w:uiPriority w:val="0"/>
    <w:pPr>
      <w:jc w:val="left"/>
    </w:pPr>
  </w:style>
  <w:style w:type="paragraph" w:styleId="16">
    <w:name w:val="Body Text"/>
    <w:basedOn w:val="1"/>
    <w:next w:val="1"/>
    <w:unhideWhenUsed/>
    <w:qFormat/>
    <w:uiPriority w:val="99"/>
    <w:pPr>
      <w:spacing w:after="120"/>
    </w:pPr>
  </w:style>
  <w:style w:type="paragraph" w:styleId="17">
    <w:name w:val="Body Text Indent"/>
    <w:basedOn w:val="1"/>
    <w:next w:val="18"/>
    <w:qFormat/>
    <w:uiPriority w:val="0"/>
    <w:pPr>
      <w:spacing w:after="120"/>
      <w:ind w:left="420" w:leftChars="200"/>
    </w:pPr>
    <w:rPr>
      <w:sz w:val="32"/>
    </w:rPr>
  </w:style>
  <w:style w:type="paragraph" w:styleId="18">
    <w:name w:val="Body Text Indent 2"/>
    <w:basedOn w:val="1"/>
    <w:qFormat/>
    <w:uiPriority w:val="0"/>
    <w:pPr>
      <w:spacing w:line="480" w:lineRule="auto"/>
      <w:ind w:left="420" w:leftChars="200"/>
    </w:pPr>
  </w:style>
  <w:style w:type="paragraph" w:styleId="19">
    <w:name w:val="toc 3"/>
    <w:basedOn w:val="1"/>
    <w:next w:val="1"/>
    <w:qFormat/>
    <w:uiPriority w:val="39"/>
    <w:pPr>
      <w:ind w:left="840" w:leftChars="400"/>
    </w:pPr>
  </w:style>
  <w:style w:type="paragraph" w:styleId="20">
    <w:name w:val="Plain Text"/>
    <w:basedOn w:val="1"/>
    <w:next w:val="21"/>
    <w:link w:val="58"/>
    <w:unhideWhenUsed/>
    <w:qFormat/>
    <w:uiPriority w:val="0"/>
    <w:rPr>
      <w:rFonts w:ascii="宋体" w:hAnsi="Courier New"/>
      <w:szCs w:val="20"/>
    </w:rPr>
  </w:style>
  <w:style w:type="paragraph" w:styleId="21">
    <w:name w:val="List Number 5"/>
    <w:basedOn w:val="22"/>
    <w:next w:val="23"/>
    <w:qFormat/>
    <w:uiPriority w:val="0"/>
    <w:pPr>
      <w:tabs>
        <w:tab w:val="left" w:pos="2410"/>
      </w:tabs>
    </w:pPr>
  </w:style>
  <w:style w:type="paragraph" w:styleId="22">
    <w:name w:val="footnote text"/>
    <w:basedOn w:val="1"/>
    <w:link w:val="108"/>
    <w:unhideWhenUsed/>
    <w:qFormat/>
    <w:uiPriority w:val="99"/>
    <w:pPr>
      <w:ind w:firstLine="0" w:firstLineChars="0"/>
    </w:pPr>
    <w:rPr>
      <w:sz w:val="20"/>
      <w:szCs w:val="20"/>
    </w:rPr>
  </w:style>
  <w:style w:type="paragraph" w:customStyle="1" w:styleId="23">
    <w:name w:val="font7"/>
    <w:basedOn w:val="1"/>
    <w:qFormat/>
    <w:uiPriority w:val="0"/>
    <w:pPr>
      <w:spacing w:before="100" w:beforeAutospacing="1" w:after="100" w:afterAutospacing="1"/>
      <w:jc w:val="left"/>
    </w:pPr>
    <w:rPr>
      <w:sz w:val="20"/>
      <w:szCs w:val="20"/>
    </w:rPr>
  </w:style>
  <w:style w:type="paragraph" w:styleId="24">
    <w:name w:val="Date"/>
    <w:basedOn w:val="1"/>
    <w:next w:val="1"/>
    <w:link w:val="67"/>
    <w:qFormat/>
    <w:uiPriority w:val="0"/>
    <w:pPr>
      <w:ind w:left="100" w:leftChars="2500"/>
    </w:pPr>
  </w:style>
  <w:style w:type="paragraph" w:styleId="25">
    <w:name w:val="Balloon Text"/>
    <w:basedOn w:val="1"/>
    <w:next w:val="26"/>
    <w:link w:val="55"/>
    <w:qFormat/>
    <w:uiPriority w:val="0"/>
    <w:pPr>
      <w:spacing w:line="240" w:lineRule="auto"/>
    </w:pPr>
    <w:rPr>
      <w:sz w:val="18"/>
      <w:szCs w:val="18"/>
    </w:rPr>
  </w:style>
  <w:style w:type="paragraph" w:customStyle="1" w:styleId="26">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27">
    <w:name w:val="footer"/>
    <w:basedOn w:val="1"/>
    <w:link w:val="68"/>
    <w:qFormat/>
    <w:uiPriority w:val="99"/>
    <w:pPr>
      <w:tabs>
        <w:tab w:val="center" w:pos="4153"/>
        <w:tab w:val="right" w:pos="8306"/>
      </w:tabs>
      <w:jc w:val="left"/>
    </w:pPr>
    <w:rPr>
      <w:sz w:val="18"/>
    </w:rPr>
  </w:style>
  <w:style w:type="paragraph" w:styleId="28">
    <w:name w:val="envelope return"/>
    <w:basedOn w:val="1"/>
    <w:qFormat/>
    <w:uiPriority w:val="0"/>
    <w:rPr>
      <w:rFonts w:ascii="Arial" w:hAnsi="Arial"/>
    </w:rPr>
  </w:style>
  <w:style w:type="paragraph" w:styleId="2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30">
    <w:name w:val="toc 1"/>
    <w:basedOn w:val="1"/>
    <w:next w:val="1"/>
    <w:qFormat/>
    <w:uiPriority w:val="39"/>
  </w:style>
  <w:style w:type="paragraph" w:styleId="31">
    <w:name w:val="Subtitle"/>
    <w:basedOn w:val="1"/>
    <w:next w:val="1"/>
    <w:link w:val="88"/>
    <w:qFormat/>
    <w:uiPriority w:val="11"/>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paragraph" w:styleId="32">
    <w:name w:val="toc 2"/>
    <w:basedOn w:val="1"/>
    <w:next w:val="1"/>
    <w:qFormat/>
    <w:uiPriority w:val="39"/>
    <w:pPr>
      <w:ind w:left="420" w:leftChars="200"/>
    </w:pPr>
  </w:style>
  <w:style w:type="paragraph" w:styleId="33">
    <w:name w:val="Body Text 2"/>
    <w:basedOn w:val="1"/>
    <w:link w:val="66"/>
    <w:qFormat/>
    <w:uiPriority w:val="0"/>
    <w:rPr>
      <w:szCs w:val="20"/>
    </w:rPr>
  </w:style>
  <w:style w:type="paragraph" w:styleId="3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hAnsi="Arial Unicode MS" w:eastAsia="Courier New" w:cs="Courier New"/>
      <w:color w:val="000000"/>
      <w:sz w:val="20"/>
    </w:rPr>
  </w:style>
  <w:style w:type="paragraph" w:styleId="35">
    <w:name w:val="Normal (Web)"/>
    <w:basedOn w:val="1"/>
    <w:qFormat/>
    <w:uiPriority w:val="99"/>
    <w:pPr>
      <w:spacing w:beforeAutospacing="1" w:afterAutospacing="1"/>
      <w:jc w:val="left"/>
    </w:pPr>
    <w:rPr>
      <w:sz w:val="24"/>
    </w:rPr>
  </w:style>
  <w:style w:type="paragraph" w:styleId="36">
    <w:name w:val="Title"/>
    <w:basedOn w:val="1"/>
    <w:next w:val="1"/>
    <w:link w:val="87"/>
    <w:qFormat/>
    <w:uiPriority w:val="10"/>
    <w:pPr>
      <w:pBdr>
        <w:bottom w:val="single" w:color="5B9BD5" w:themeColor="accent1" w:sz="8" w:space="4"/>
      </w:pBdr>
      <w:spacing w:after="300" w:line="240" w:lineRule="auto"/>
      <w:contextualSpacing/>
    </w:pPr>
    <w:rPr>
      <w:rFonts w:asciiTheme="majorHAnsi" w:hAnsiTheme="majorHAnsi" w:eastAsiaTheme="majorEastAsia" w:cstheme="majorBidi"/>
      <w:color w:val="333F50" w:themeColor="text2" w:themeShade="BF"/>
      <w:spacing w:val="5"/>
      <w:sz w:val="52"/>
      <w:szCs w:val="52"/>
    </w:rPr>
  </w:style>
  <w:style w:type="paragraph" w:styleId="37">
    <w:name w:val="annotation subject"/>
    <w:basedOn w:val="15"/>
    <w:next w:val="15"/>
    <w:link w:val="57"/>
    <w:qFormat/>
    <w:uiPriority w:val="0"/>
    <w:rPr>
      <w:b/>
      <w:bCs/>
    </w:rPr>
  </w:style>
  <w:style w:type="paragraph" w:styleId="38">
    <w:name w:val="Body Text First Indent"/>
    <w:basedOn w:val="16"/>
    <w:qFormat/>
    <w:uiPriority w:val="0"/>
    <w:pPr>
      <w:ind w:firstLine="100" w:firstLineChars="100"/>
    </w:pPr>
  </w:style>
  <w:style w:type="paragraph" w:styleId="39">
    <w:name w:val="Body Text First Indent 2"/>
    <w:basedOn w:val="17"/>
    <w:next w:val="38"/>
    <w:link w:val="59"/>
    <w:unhideWhenUsed/>
    <w:qFormat/>
    <w:uiPriority w:val="99"/>
    <w:pPr>
      <w:ind w:left="0" w:leftChars="0" w:firstLine="0" w:firstLineChars="0"/>
    </w:pPr>
    <w:rPr>
      <w:rFonts w:eastAsia="宋体"/>
      <w:sz w:val="21"/>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basedOn w:val="42"/>
    <w:qFormat/>
    <w:uiPriority w:val="22"/>
    <w:rPr>
      <w:b/>
      <w:bCs/>
    </w:rPr>
  </w:style>
  <w:style w:type="character" w:styleId="44">
    <w:name w:val="FollowedHyperlink"/>
    <w:basedOn w:val="42"/>
    <w:qFormat/>
    <w:uiPriority w:val="0"/>
    <w:rPr>
      <w:color w:val="800080"/>
      <w:u w:val="single"/>
    </w:rPr>
  </w:style>
  <w:style w:type="character" w:styleId="45">
    <w:name w:val="Emphasis"/>
    <w:basedOn w:val="42"/>
    <w:qFormat/>
    <w:uiPriority w:val="20"/>
    <w:rPr>
      <w:i/>
      <w:iCs/>
    </w:rPr>
  </w:style>
  <w:style w:type="character" w:styleId="46">
    <w:name w:val="Hyperlink"/>
    <w:basedOn w:val="42"/>
    <w:qFormat/>
    <w:uiPriority w:val="99"/>
    <w:rPr>
      <w:color w:val="0000FF"/>
      <w:u w:val="single"/>
    </w:rPr>
  </w:style>
  <w:style w:type="character" w:styleId="47">
    <w:name w:val="annotation reference"/>
    <w:basedOn w:val="42"/>
    <w:semiHidden/>
    <w:unhideWhenUsed/>
    <w:qFormat/>
    <w:uiPriority w:val="99"/>
    <w:rPr>
      <w:sz w:val="21"/>
      <w:szCs w:val="21"/>
    </w:rPr>
  </w:style>
  <w:style w:type="character" w:styleId="48">
    <w:name w:val="footnote reference"/>
    <w:basedOn w:val="42"/>
    <w:semiHidden/>
    <w:unhideWhenUsed/>
    <w:qFormat/>
    <w:uiPriority w:val="0"/>
    <w:rPr>
      <w:vertAlign w:val="superscript"/>
    </w:rPr>
  </w:style>
  <w:style w:type="character" w:customStyle="1" w:styleId="49">
    <w:name w:val="标题 2 字符"/>
    <w:basedOn w:val="42"/>
    <w:link w:val="3"/>
    <w:qFormat/>
    <w:uiPriority w:val="9"/>
    <w:rPr>
      <w:rFonts w:eastAsia="仿宋_GB2312" w:cstheme="majorBidi"/>
      <w:b/>
      <w:bCs/>
      <w:sz w:val="28"/>
      <w:szCs w:val="26"/>
    </w:rPr>
  </w:style>
  <w:style w:type="paragraph" w:customStyle="1" w:styleId="50">
    <w:name w:val="UserStyle_14"/>
    <w:basedOn w:val="1"/>
    <w:qFormat/>
    <w:uiPriority w:val="99"/>
    <w:pPr>
      <w:textAlignment w:val="baseline"/>
    </w:pPr>
    <w:rPr>
      <w:szCs w:val="24"/>
    </w:rPr>
  </w:style>
  <w:style w:type="character" w:customStyle="1" w:styleId="51">
    <w:name w:val="NormalCharacter"/>
    <w:qFormat/>
    <w:uiPriority w:val="99"/>
  </w:style>
  <w:style w:type="paragraph" w:customStyle="1" w:styleId="52">
    <w:name w:val="PlainText"/>
    <w:basedOn w:val="1"/>
    <w:qFormat/>
    <w:uiPriority w:val="99"/>
    <w:pPr>
      <w:textAlignment w:val="baseline"/>
    </w:pPr>
    <w:rPr>
      <w:rFonts w:ascii="宋体" w:hAnsi="Courier New"/>
    </w:rPr>
  </w:style>
  <w:style w:type="paragraph" w:styleId="53">
    <w:name w:val="List Paragraph"/>
    <w:basedOn w:val="1"/>
    <w:qFormat/>
    <w:uiPriority w:val="34"/>
    <w:pPr>
      <w:ind w:firstLine="420"/>
    </w:pPr>
  </w:style>
  <w:style w:type="paragraph" w:customStyle="1" w:styleId="54">
    <w:name w:val="Default"/>
    <w:qFormat/>
    <w:uiPriority w:val="0"/>
    <w:pPr>
      <w:widowControl w:val="0"/>
      <w:autoSpaceDE w:val="0"/>
      <w:autoSpaceDN w:val="0"/>
      <w:adjustRightInd w:val="0"/>
      <w:spacing w:after="200" w:line="276" w:lineRule="auto"/>
      <w:jc w:val="both"/>
    </w:pPr>
    <w:rPr>
      <w:rFonts w:ascii="仿宋_GB2312" w:hAnsi="仿宋_GB2312" w:cs="仿宋_GB2312" w:eastAsiaTheme="minorEastAsia"/>
      <w:color w:val="000000"/>
      <w:sz w:val="24"/>
      <w:szCs w:val="24"/>
      <w:lang w:val="en-US" w:eastAsia="zh-CN" w:bidi="ar-SA"/>
    </w:rPr>
  </w:style>
  <w:style w:type="character" w:customStyle="1" w:styleId="55">
    <w:name w:val="批注框文本 字符"/>
    <w:basedOn w:val="42"/>
    <w:link w:val="25"/>
    <w:qFormat/>
    <w:uiPriority w:val="0"/>
    <w:rPr>
      <w:kern w:val="2"/>
      <w:sz w:val="18"/>
      <w:szCs w:val="18"/>
    </w:rPr>
  </w:style>
  <w:style w:type="character" w:customStyle="1" w:styleId="56">
    <w:name w:val="批注文字 字符"/>
    <w:basedOn w:val="42"/>
    <w:link w:val="15"/>
    <w:qFormat/>
    <w:uiPriority w:val="0"/>
    <w:rPr>
      <w:kern w:val="2"/>
      <w:sz w:val="21"/>
      <w:szCs w:val="21"/>
    </w:rPr>
  </w:style>
  <w:style w:type="character" w:customStyle="1" w:styleId="57">
    <w:name w:val="批注主题 字符"/>
    <w:basedOn w:val="56"/>
    <w:link w:val="37"/>
    <w:qFormat/>
    <w:uiPriority w:val="0"/>
    <w:rPr>
      <w:b/>
      <w:bCs/>
      <w:kern w:val="2"/>
      <w:sz w:val="21"/>
      <w:szCs w:val="21"/>
    </w:rPr>
  </w:style>
  <w:style w:type="character" w:customStyle="1" w:styleId="58">
    <w:name w:val="纯文本 字符"/>
    <w:basedOn w:val="42"/>
    <w:link w:val="20"/>
    <w:qFormat/>
    <w:uiPriority w:val="0"/>
    <w:rPr>
      <w:rFonts w:ascii="宋体" w:hAnsi="Courier New"/>
      <w:kern w:val="2"/>
      <w:sz w:val="21"/>
    </w:rPr>
  </w:style>
  <w:style w:type="character" w:customStyle="1" w:styleId="59">
    <w:name w:val="正文文本首行缩进 2 字符"/>
    <w:basedOn w:val="42"/>
    <w:link w:val="39"/>
    <w:qFormat/>
    <w:uiPriority w:val="99"/>
    <w:rPr>
      <w:kern w:val="2"/>
      <w:sz w:val="21"/>
      <w:szCs w:val="21"/>
    </w:rPr>
  </w:style>
  <w:style w:type="table" w:customStyle="1" w:styleId="60">
    <w:name w:val="无格式表格 21"/>
    <w:basedOn w:val="40"/>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61">
    <w:name w:val="南海正文"/>
    <w:qFormat/>
    <w:uiPriority w:val="0"/>
    <w:pPr>
      <w:adjustRightInd w:val="0"/>
      <w:snapToGrid w:val="0"/>
      <w:spacing w:after="200" w:line="360" w:lineRule="auto"/>
      <w:ind w:firstLine="200" w:firstLineChars="200"/>
      <w:jc w:val="both"/>
    </w:pPr>
    <w:rPr>
      <w:rFonts w:eastAsia="仿宋_GB2312" w:asciiTheme="minorHAnsi" w:hAnsiTheme="minorHAnsi" w:cstheme="minorBidi"/>
      <w:sz w:val="24"/>
      <w:szCs w:val="22"/>
      <w:lang w:val="en-GB" w:eastAsia="zh-CN" w:bidi="ar-SA"/>
    </w:rPr>
  </w:style>
  <w:style w:type="paragraph" w:customStyle="1" w:styleId="62">
    <w:name w:val="南海标题1"/>
    <w:next w:val="61"/>
    <w:unhideWhenUsed/>
    <w:qFormat/>
    <w:uiPriority w:val="9"/>
    <w:pPr>
      <w:numPr>
        <w:ilvl w:val="0"/>
        <w:numId w:val="2"/>
      </w:numPr>
      <w:snapToGrid w:val="0"/>
      <w:spacing w:after="200" w:line="560" w:lineRule="exact"/>
      <w:jc w:val="both"/>
      <w:outlineLvl w:val="0"/>
    </w:pPr>
    <w:rPr>
      <w:rFonts w:ascii="黑体" w:hAnsi="黑体" w:eastAsia="黑体" w:cstheme="minorBidi"/>
      <w:b/>
      <w:bCs/>
      <w:sz w:val="28"/>
      <w:szCs w:val="32"/>
      <w:lang w:val="en-GB" w:eastAsia="zh-CN" w:bidi="ar-SA"/>
    </w:rPr>
  </w:style>
  <w:style w:type="paragraph" w:customStyle="1" w:styleId="63">
    <w:name w:val="案例大标题"/>
    <w:basedOn w:val="1"/>
    <w:qFormat/>
    <w:uiPriority w:val="0"/>
    <w:pPr>
      <w:adjustRightInd w:val="0"/>
      <w:spacing w:line="560" w:lineRule="exact"/>
      <w:jc w:val="left"/>
    </w:pPr>
    <w:rPr>
      <w:rFonts w:ascii="黑体" w:hAnsi="黑体" w:eastAsia="黑体"/>
      <w:sz w:val="32"/>
      <w:szCs w:val="32"/>
    </w:rPr>
  </w:style>
  <w:style w:type="paragraph" w:customStyle="1" w:styleId="64">
    <w:name w:val="南海脚注"/>
    <w:basedOn w:val="22"/>
    <w:qFormat/>
    <w:uiPriority w:val="0"/>
    <w:rPr>
      <w:rFonts w:ascii="楷体" w:hAnsi="楷体" w:eastAsia="楷体"/>
      <w:sz w:val="21"/>
      <w:szCs w:val="24"/>
      <w:lang w:val="en-GB"/>
    </w:rPr>
  </w:style>
  <w:style w:type="paragraph" w:customStyle="1" w:styleId="65">
    <w:name w:val="列表段落1"/>
    <w:basedOn w:val="1"/>
    <w:qFormat/>
    <w:uiPriority w:val="34"/>
  </w:style>
  <w:style w:type="character" w:customStyle="1" w:styleId="66">
    <w:name w:val="正文文本 2 字符"/>
    <w:basedOn w:val="42"/>
    <w:link w:val="33"/>
    <w:qFormat/>
    <w:uiPriority w:val="0"/>
    <w:rPr>
      <w:kern w:val="2"/>
      <w:sz w:val="21"/>
    </w:rPr>
  </w:style>
  <w:style w:type="character" w:customStyle="1" w:styleId="67">
    <w:name w:val="日期 字符"/>
    <w:basedOn w:val="42"/>
    <w:link w:val="24"/>
    <w:qFormat/>
    <w:uiPriority w:val="0"/>
    <w:rPr>
      <w:kern w:val="2"/>
      <w:sz w:val="21"/>
      <w:szCs w:val="21"/>
    </w:rPr>
  </w:style>
  <w:style w:type="character" w:customStyle="1" w:styleId="68">
    <w:name w:val="页脚 字符"/>
    <w:basedOn w:val="42"/>
    <w:link w:val="27"/>
    <w:qFormat/>
    <w:uiPriority w:val="99"/>
    <w:rPr>
      <w:kern w:val="2"/>
      <w:sz w:val="18"/>
      <w:szCs w:val="21"/>
    </w:rPr>
  </w:style>
  <w:style w:type="paragraph" w:customStyle="1" w:styleId="69">
    <w:name w:val="修订1"/>
    <w:hidden/>
    <w:semiHidden/>
    <w:qFormat/>
    <w:uiPriority w:val="99"/>
    <w:pPr>
      <w:spacing w:after="200" w:line="276" w:lineRule="auto"/>
    </w:pPr>
    <w:rPr>
      <w:rFonts w:asciiTheme="minorHAnsi" w:hAnsiTheme="minorHAnsi" w:eastAsiaTheme="minorEastAsia" w:cstheme="minorBidi"/>
      <w:kern w:val="2"/>
      <w:sz w:val="21"/>
      <w:szCs w:val="21"/>
      <w:lang w:val="en-US" w:eastAsia="zh-CN" w:bidi="ar-SA"/>
    </w:rPr>
  </w:style>
  <w:style w:type="table" w:customStyle="1" w:styleId="70">
    <w:name w:val="网格表 5 深色 - 着色 11"/>
    <w:basedOn w:val="40"/>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71">
    <w:name w:val="网格表 4 - 着色 11"/>
    <w:basedOn w:val="40"/>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72">
    <w:name w:val="网格表 6 彩色 - 着色 11"/>
    <w:basedOn w:val="40"/>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character" w:customStyle="1" w:styleId="73">
    <w:name w:val="标题 3 字符"/>
    <w:basedOn w:val="42"/>
    <w:link w:val="4"/>
    <w:qFormat/>
    <w:uiPriority w:val="9"/>
    <w:rPr>
      <w:rFonts w:eastAsia="仿宋_GB2312" w:cstheme="majorBidi"/>
      <w:b/>
      <w:bCs/>
      <w:sz w:val="28"/>
      <w:szCs w:val="22"/>
    </w:rPr>
  </w:style>
  <w:style w:type="table" w:customStyle="1" w:styleId="74">
    <w:name w:val="网格型浅色1"/>
    <w:basedOn w:val="40"/>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75">
    <w:name w:val="清单表 3 - 着色 11"/>
    <w:basedOn w:val="40"/>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76">
    <w:name w:val="网格表 5 深色 - 着色 51"/>
    <w:basedOn w:val="40"/>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77">
    <w:name w:val="清单表 2 - 着色 11"/>
    <w:basedOn w:val="40"/>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78">
    <w:name w:val="网格表 1 浅色 - 着色 11"/>
    <w:basedOn w:val="40"/>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paragraph" w:customStyle="1" w:styleId="79">
    <w:name w:val="修订2"/>
    <w:hidden/>
    <w:semiHidden/>
    <w:qFormat/>
    <w:uiPriority w:val="99"/>
    <w:pPr>
      <w:spacing w:after="200" w:line="276" w:lineRule="auto"/>
    </w:pPr>
    <w:rPr>
      <w:rFonts w:asciiTheme="minorHAnsi" w:hAnsiTheme="minorHAnsi" w:eastAsiaTheme="minorEastAsia" w:cstheme="minorBidi"/>
      <w:kern w:val="2"/>
      <w:sz w:val="21"/>
      <w:szCs w:val="21"/>
      <w:lang w:val="en-US" w:eastAsia="zh-CN" w:bidi="ar-SA"/>
    </w:rPr>
  </w:style>
  <w:style w:type="character" w:customStyle="1" w:styleId="80">
    <w:name w:val="标题 1 字符"/>
    <w:basedOn w:val="42"/>
    <w:link w:val="2"/>
    <w:qFormat/>
    <w:uiPriority w:val="9"/>
    <w:rPr>
      <w:rFonts w:eastAsia="仿宋_GB2312" w:cstheme="majorBidi"/>
      <w:b/>
      <w:bCs/>
      <w:sz w:val="28"/>
      <w:szCs w:val="28"/>
    </w:rPr>
  </w:style>
  <w:style w:type="character" w:customStyle="1" w:styleId="81">
    <w:name w:val="标题 4 字符"/>
    <w:basedOn w:val="42"/>
    <w:link w:val="5"/>
    <w:qFormat/>
    <w:uiPriority w:val="9"/>
    <w:rPr>
      <w:rFonts w:asciiTheme="majorHAnsi" w:hAnsiTheme="majorHAnsi" w:eastAsiaTheme="majorEastAsia" w:cstheme="majorBidi"/>
      <w:b/>
      <w:bCs/>
      <w:i/>
      <w:iCs/>
      <w:sz w:val="28"/>
      <w:szCs w:val="22"/>
    </w:rPr>
  </w:style>
  <w:style w:type="character" w:customStyle="1" w:styleId="82">
    <w:name w:val="标题 5 字符"/>
    <w:basedOn w:val="42"/>
    <w:link w:val="6"/>
    <w:semiHidden/>
    <w:qFormat/>
    <w:uiPriority w:val="9"/>
    <w:rPr>
      <w:rFonts w:asciiTheme="majorHAnsi" w:hAnsiTheme="majorHAnsi" w:eastAsiaTheme="majorEastAsia" w:cstheme="majorBidi"/>
      <w:color w:val="1F4E79" w:themeColor="accent1" w:themeShade="80"/>
    </w:rPr>
  </w:style>
  <w:style w:type="character" w:customStyle="1" w:styleId="83">
    <w:name w:val="标题 6 字符"/>
    <w:basedOn w:val="42"/>
    <w:link w:val="7"/>
    <w:semiHidden/>
    <w:qFormat/>
    <w:uiPriority w:val="9"/>
    <w:rPr>
      <w:rFonts w:asciiTheme="majorHAnsi" w:hAnsiTheme="majorHAnsi" w:eastAsiaTheme="majorEastAsia" w:cstheme="majorBidi"/>
      <w:i/>
      <w:iCs/>
      <w:color w:val="1F4E79" w:themeColor="accent1" w:themeShade="80"/>
    </w:rPr>
  </w:style>
  <w:style w:type="character" w:customStyle="1" w:styleId="84">
    <w:name w:val="标题 7 字符"/>
    <w:basedOn w:val="42"/>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85">
    <w:name w:val="标题 8 字符"/>
    <w:basedOn w:val="42"/>
    <w:link w:val="9"/>
    <w:semiHidden/>
    <w:qFormat/>
    <w:uiPriority w:val="9"/>
    <w:rPr>
      <w:rFonts w:asciiTheme="majorHAnsi" w:hAnsiTheme="majorHAnsi" w:eastAsiaTheme="majorEastAsia" w:cstheme="majorBidi"/>
      <w:color w:val="5B9BD5" w:themeColor="accent1"/>
      <w:sz w:val="20"/>
      <w:szCs w:val="20"/>
      <w14:textFill>
        <w14:solidFill>
          <w14:schemeClr w14:val="accent1"/>
        </w14:solidFill>
      </w14:textFill>
    </w:rPr>
  </w:style>
  <w:style w:type="character" w:customStyle="1" w:styleId="86">
    <w:name w:val="标题 9 字符"/>
    <w:basedOn w:val="42"/>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87">
    <w:name w:val="标题 字符"/>
    <w:basedOn w:val="42"/>
    <w:link w:val="36"/>
    <w:qFormat/>
    <w:uiPriority w:val="10"/>
    <w:rPr>
      <w:rFonts w:asciiTheme="majorHAnsi" w:hAnsiTheme="majorHAnsi" w:eastAsiaTheme="majorEastAsia" w:cstheme="majorBidi"/>
      <w:color w:val="333F50" w:themeColor="text2" w:themeShade="BF"/>
      <w:spacing w:val="5"/>
      <w:sz w:val="52"/>
      <w:szCs w:val="52"/>
    </w:rPr>
  </w:style>
  <w:style w:type="character" w:customStyle="1" w:styleId="88">
    <w:name w:val="副标题 字符"/>
    <w:basedOn w:val="42"/>
    <w:link w:val="31"/>
    <w:qFormat/>
    <w:uiPriority w:val="11"/>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paragraph" w:styleId="89">
    <w:name w:val="No Spacing"/>
    <w:qFormat/>
    <w:uiPriority w:val="1"/>
    <w:rPr>
      <w:rFonts w:asciiTheme="minorHAnsi" w:hAnsiTheme="minorHAnsi" w:eastAsiaTheme="minorEastAsia" w:cstheme="minorBidi"/>
      <w:sz w:val="22"/>
      <w:szCs w:val="22"/>
      <w:lang w:val="en-US" w:eastAsia="zh-CN" w:bidi="ar-SA"/>
    </w:rPr>
  </w:style>
  <w:style w:type="paragraph" w:styleId="90">
    <w:name w:val="Quote"/>
    <w:basedOn w:val="1"/>
    <w:next w:val="1"/>
    <w:link w:val="91"/>
    <w:qFormat/>
    <w:uiPriority w:val="29"/>
    <w:rPr>
      <w:i/>
      <w:iCs/>
      <w:color w:val="000000" w:themeColor="text1"/>
      <w14:textFill>
        <w14:solidFill>
          <w14:schemeClr w14:val="tx1"/>
        </w14:solidFill>
      </w14:textFill>
    </w:rPr>
  </w:style>
  <w:style w:type="character" w:customStyle="1" w:styleId="91">
    <w:name w:val="引用 字符"/>
    <w:basedOn w:val="42"/>
    <w:link w:val="90"/>
    <w:qFormat/>
    <w:uiPriority w:val="29"/>
    <w:rPr>
      <w:i/>
      <w:iCs/>
      <w:color w:val="000000" w:themeColor="text1"/>
      <w14:textFill>
        <w14:solidFill>
          <w14:schemeClr w14:val="tx1"/>
        </w14:solidFill>
      </w14:textFill>
    </w:rPr>
  </w:style>
  <w:style w:type="paragraph" w:styleId="92">
    <w:name w:val="Intense Quote"/>
    <w:basedOn w:val="1"/>
    <w:next w:val="1"/>
    <w:link w:val="93"/>
    <w:qFormat/>
    <w:uiPriority w:val="30"/>
    <w:pPr>
      <w:pBdr>
        <w:bottom w:val="single" w:color="5B9BD5" w:themeColor="accent1" w:sz="4" w:space="4"/>
      </w:pBdr>
      <w:spacing w:before="200" w:after="280"/>
      <w:ind w:left="936" w:right="936"/>
    </w:pPr>
    <w:rPr>
      <w:b/>
      <w:bCs/>
      <w:i/>
      <w:iCs/>
      <w:color w:val="5B9BD5" w:themeColor="accent1"/>
      <w14:textFill>
        <w14:solidFill>
          <w14:schemeClr w14:val="accent1"/>
        </w14:solidFill>
      </w14:textFill>
    </w:rPr>
  </w:style>
  <w:style w:type="character" w:customStyle="1" w:styleId="93">
    <w:name w:val="明显引用 字符"/>
    <w:basedOn w:val="42"/>
    <w:link w:val="92"/>
    <w:qFormat/>
    <w:uiPriority w:val="30"/>
    <w:rPr>
      <w:b/>
      <w:bCs/>
      <w:i/>
      <w:iCs/>
      <w:color w:val="5B9BD5" w:themeColor="accent1"/>
      <w14:textFill>
        <w14:solidFill>
          <w14:schemeClr w14:val="accent1"/>
        </w14:solidFill>
      </w14:textFill>
    </w:rPr>
  </w:style>
  <w:style w:type="character" w:customStyle="1" w:styleId="94">
    <w:name w:val="不明显强调1"/>
    <w:basedOn w:val="42"/>
    <w:qFormat/>
    <w:uiPriority w:val="19"/>
    <w:rPr>
      <w:i/>
      <w:iCs/>
      <w:color w:val="808080" w:themeColor="text1" w:themeTint="80"/>
      <w14:textFill>
        <w14:solidFill>
          <w14:schemeClr w14:val="tx1">
            <w14:lumMod w14:val="50000"/>
            <w14:lumOff w14:val="50000"/>
          </w14:schemeClr>
        </w14:solidFill>
      </w14:textFill>
    </w:rPr>
  </w:style>
  <w:style w:type="character" w:customStyle="1" w:styleId="95">
    <w:name w:val="明显强调1"/>
    <w:basedOn w:val="42"/>
    <w:qFormat/>
    <w:uiPriority w:val="21"/>
    <w:rPr>
      <w:b/>
      <w:bCs/>
      <w:i/>
      <w:iCs/>
      <w:color w:val="5B9BD5" w:themeColor="accent1"/>
      <w14:textFill>
        <w14:solidFill>
          <w14:schemeClr w14:val="accent1"/>
        </w14:solidFill>
      </w14:textFill>
    </w:rPr>
  </w:style>
  <w:style w:type="character" w:customStyle="1" w:styleId="96">
    <w:name w:val="不明显参考1"/>
    <w:basedOn w:val="42"/>
    <w:qFormat/>
    <w:uiPriority w:val="31"/>
    <w:rPr>
      <w:smallCaps/>
      <w:color w:val="ED7D31" w:themeColor="accent2"/>
      <w:u w:val="single"/>
      <w14:textFill>
        <w14:solidFill>
          <w14:schemeClr w14:val="accent2"/>
        </w14:solidFill>
      </w14:textFill>
    </w:rPr>
  </w:style>
  <w:style w:type="character" w:customStyle="1" w:styleId="97">
    <w:name w:val="明显参考1"/>
    <w:basedOn w:val="42"/>
    <w:qFormat/>
    <w:uiPriority w:val="32"/>
    <w:rPr>
      <w:b/>
      <w:bCs/>
      <w:smallCaps/>
      <w:color w:val="ED7D31" w:themeColor="accent2"/>
      <w:spacing w:val="5"/>
      <w:u w:val="single"/>
      <w14:textFill>
        <w14:solidFill>
          <w14:schemeClr w14:val="accent2"/>
        </w14:solidFill>
      </w14:textFill>
    </w:rPr>
  </w:style>
  <w:style w:type="character" w:customStyle="1" w:styleId="98">
    <w:name w:val="书籍标题1"/>
    <w:basedOn w:val="42"/>
    <w:qFormat/>
    <w:uiPriority w:val="33"/>
    <w:rPr>
      <w:b/>
      <w:bCs/>
      <w:smallCaps/>
      <w:spacing w:val="5"/>
    </w:rPr>
  </w:style>
  <w:style w:type="paragraph" w:customStyle="1" w:styleId="99">
    <w:name w:val="TOC 标题1"/>
    <w:basedOn w:val="2"/>
    <w:next w:val="1"/>
    <w:unhideWhenUsed/>
    <w:qFormat/>
    <w:uiPriority w:val="39"/>
    <w:pPr>
      <w:outlineLvl w:val="9"/>
    </w:pPr>
  </w:style>
  <w:style w:type="table" w:customStyle="1" w:styleId="100">
    <w:name w:val="网格表 5 深色 - 着色 12"/>
    <w:basedOn w:val="40"/>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101">
    <w:name w:val="清单表 3 - 着色 12"/>
    <w:basedOn w:val="40"/>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character" w:customStyle="1" w:styleId="102">
    <w:name w:val="未处理的提及1"/>
    <w:basedOn w:val="42"/>
    <w:semiHidden/>
    <w:unhideWhenUsed/>
    <w:qFormat/>
    <w:uiPriority w:val="99"/>
    <w:rPr>
      <w:color w:val="605E5C"/>
      <w:shd w:val="clear" w:color="auto" w:fill="E1DFDD"/>
    </w:rPr>
  </w:style>
  <w:style w:type="table" w:customStyle="1" w:styleId="103">
    <w:name w:val="清单表 1 浅色 - 着色 11"/>
    <w:basedOn w:val="40"/>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104">
    <w:name w:val="清单表 1 浅色 - 着色 21"/>
    <w:basedOn w:val="40"/>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105">
    <w:name w:val="网格表 5 深色 - 着色 21"/>
    <w:basedOn w:val="40"/>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character" w:customStyle="1" w:styleId="106">
    <w:name w:val="font21"/>
    <w:basedOn w:val="42"/>
    <w:qFormat/>
    <w:uiPriority w:val="0"/>
    <w:rPr>
      <w:rFonts w:hint="eastAsia" w:ascii="宋体" w:hAnsi="宋体" w:eastAsia="宋体" w:cs="宋体"/>
      <w:color w:val="000000"/>
      <w:sz w:val="24"/>
      <w:szCs w:val="24"/>
      <w:u w:val="none"/>
    </w:rPr>
  </w:style>
  <w:style w:type="character" w:customStyle="1" w:styleId="107">
    <w:name w:val="font11"/>
    <w:basedOn w:val="42"/>
    <w:qFormat/>
    <w:uiPriority w:val="0"/>
    <w:rPr>
      <w:rFonts w:hint="default" w:ascii="Times New Roman" w:hAnsi="Times New Roman" w:cs="Times New Roman"/>
      <w:color w:val="000000"/>
      <w:sz w:val="24"/>
      <w:szCs w:val="24"/>
      <w:u w:val="none"/>
    </w:rPr>
  </w:style>
  <w:style w:type="character" w:customStyle="1" w:styleId="108">
    <w:name w:val="脚注文本 字符"/>
    <w:basedOn w:val="42"/>
    <w:link w:val="22"/>
    <w:qFormat/>
    <w:uiPriority w:val="99"/>
    <w:rPr>
      <w:rFonts w:eastAsia="仿宋_GB2312" w:cstheme="minorBidi"/>
    </w:rPr>
  </w:style>
  <w:style w:type="paragraph" w:customStyle="1" w:styleId="109">
    <w:name w:val="修订3"/>
    <w:hidden/>
    <w:semiHidden/>
    <w:qFormat/>
    <w:uiPriority w:val="99"/>
    <w:rPr>
      <w:rFonts w:ascii="Times New Roman" w:hAnsi="Times New Roman" w:eastAsia="仿宋_GB2312" w:cstheme="minorBidi"/>
      <w:sz w:val="28"/>
      <w:szCs w:val="22"/>
      <w:lang w:val="en-US" w:eastAsia="zh-CN" w:bidi="ar-SA"/>
    </w:rPr>
  </w:style>
  <w:style w:type="paragraph" w:customStyle="1" w:styleId="110">
    <w:name w:val="修订4"/>
    <w:hidden/>
    <w:unhideWhenUsed/>
    <w:qFormat/>
    <w:uiPriority w:val="99"/>
    <w:rPr>
      <w:rFonts w:ascii="Times New Roman" w:hAnsi="Times New Roman" w:eastAsia="仿宋_GB2312" w:cstheme="minorBidi"/>
      <w:sz w:val="28"/>
      <w:szCs w:val="22"/>
      <w:lang w:val="en-US" w:eastAsia="zh-CN" w:bidi="ar-SA"/>
    </w:rPr>
  </w:style>
  <w:style w:type="paragraph" w:customStyle="1" w:styleId="111">
    <w:name w:val="修订5"/>
    <w:hidden/>
    <w:unhideWhenUsed/>
    <w:qFormat/>
    <w:uiPriority w:val="99"/>
    <w:rPr>
      <w:rFonts w:ascii="Times New Roman" w:hAnsi="Times New Roman" w:eastAsia="仿宋_GB2312" w:cstheme="minorBidi"/>
      <w:sz w:val="28"/>
      <w:szCs w:val="22"/>
      <w:lang w:val="en-US" w:eastAsia="zh-CN" w:bidi="ar-SA"/>
    </w:rPr>
  </w:style>
  <w:style w:type="paragraph" w:customStyle="1" w:styleId="112">
    <w:name w:val="Revision"/>
    <w:hidden/>
    <w:unhideWhenUsed/>
    <w:qFormat/>
    <w:uiPriority w:val="99"/>
    <w:rPr>
      <w:rFonts w:ascii="Times New Roman" w:hAnsi="Times New Roman" w:eastAsia="仿宋_GB2312" w:cstheme="minorBidi"/>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1" Type="http://schemas.microsoft.com/office/2011/relationships/people" Target="people.xml"/><Relationship Id="rId40" Type="http://schemas.openxmlformats.org/officeDocument/2006/relationships/fontTable" Target="fontTable.xml"/><Relationship Id="rId4" Type="http://schemas.microsoft.com/office/2011/relationships/commentsExtended" Target="commentsExtended.xml"/><Relationship Id="rId39" Type="http://schemas.openxmlformats.org/officeDocument/2006/relationships/customXml" Target="../customXml/item3.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8.png"/><Relationship Id="rId34" Type="http://schemas.openxmlformats.org/officeDocument/2006/relationships/image" Target="media/image7.jpeg"/><Relationship Id="rId33" Type="http://schemas.openxmlformats.org/officeDocument/2006/relationships/image" Target="media/image6.png"/><Relationship Id="rId32" Type="http://schemas.openxmlformats.org/officeDocument/2006/relationships/image" Target="media/image5.png"/><Relationship Id="rId31" Type="http://schemas.openxmlformats.org/officeDocument/2006/relationships/image" Target="media/image4.png"/><Relationship Id="rId30" Type="http://schemas.openxmlformats.org/officeDocument/2006/relationships/chart" Target="charts/chart4.xml"/><Relationship Id="rId3" Type="http://schemas.openxmlformats.org/officeDocument/2006/relationships/comments" Target="comments.xml"/><Relationship Id="rId29" Type="http://schemas.openxmlformats.org/officeDocument/2006/relationships/chart" Target="charts/chart3.xml"/><Relationship Id="rId28" Type="http://schemas.openxmlformats.org/officeDocument/2006/relationships/chart" Target="charts/chart2.xml"/><Relationship Id="rId27" Type="http://schemas.openxmlformats.org/officeDocument/2006/relationships/chart" Target="charts/chart1.xml"/><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32852;&#21512;&#36196;&#36947;&#24037;&#20316;&#36164;&#26009;\26-05-13%20&#20044;&#28023;&#38134;&#34892;TNFD\05%20GIS&#21644;&#25968;&#25454;\TNFD&#25253;&#21578;&#33258;&#28982;&#25259;&#38706;&#25968;&#25454;-&#20044;&#28023;&#38134;&#34892;ENCORE.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32852;&#21512;&#36196;&#36947;&#24037;&#20316;&#36164;&#26009;\26-05-13%20&#20044;&#28023;&#38134;&#34892;TNFD\05%20GIS&#21644;&#25968;&#25454;\TNFD&#25253;&#21578;&#33258;&#28982;&#25259;&#38706;&#25968;&#25454;-&#20044;&#28023;&#38134;&#34892;ENCORE.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32852;&#21512;&#36196;&#36947;&#24037;&#20316;&#36164;&#26009;\26-05-13%20&#20044;&#28023;&#38134;&#34892;TNFD\05%20GIS&#21644;&#25968;&#25454;\TNFD&#25253;&#21578;&#33258;&#28982;&#25259;&#38706;&#25968;&#25454;-&#20044;&#28023;&#38134;&#34892;ENCORE.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32852;&#21512;&#36196;&#36947;&#24037;&#20316;&#36164;&#26009;\26-05-13%20&#20044;&#28023;&#38134;&#34892;TNFD\05%20GIS&#21644;&#25968;&#25454;\TNFD&#25253;&#21578;&#33258;&#28982;&#25259;&#38706;&#25968;&#25454;-&#20044;&#28023;&#38134;&#34892;ENCOR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361518550475"/>
          <c:y val="0.1"/>
          <c:w val="0.808947368421053"/>
          <c:h val="0.866057803468208"/>
        </c:manualLayout>
      </c:layout>
      <c:barChart>
        <c:barDir val="bar"/>
        <c:grouping val="clustered"/>
        <c:varyColors val="0"/>
        <c:ser>
          <c:idx val="3"/>
          <c:order val="0"/>
          <c:tx>
            <c:strRef>
              <c:f>'[TNFD报告自然披露数据-乌海银行ENCORE.xlsx]依赖各因素统计'!$Q$16</c:f>
              <c:strCache>
                <c:ptCount val="1"/>
                <c:pt idx="0">
                  <c:v>VL</c:v>
                </c:pt>
              </c:strCache>
            </c:strRef>
          </c:tx>
          <c:spPr>
            <a:solidFill>
              <a:schemeClr val="accent6">
                <a:lumMod val="20000"/>
                <a:lumOff val="80000"/>
              </a:schemeClr>
            </a:solidFill>
            <a:ln>
              <a:noFill/>
            </a:ln>
            <a:effectLst/>
          </c:spPr>
          <c:invertIfNegative val="0"/>
          <c:dLbls>
            <c:delete val="1"/>
          </c:dLbls>
          <c:cat>
            <c:strRef>
              <c:f>'[TNFD报告自然披露数据-乌海银行ENCORE.xlsx]依赖各因素统计'!$R$14:$AC$14</c:f>
              <c:strCache>
                <c:ptCount val="12"/>
                <c:pt idx="0">
                  <c:v>固体废物修复</c:v>
                </c:pt>
                <c:pt idx="1">
                  <c:v>土壤与沉积物维持</c:v>
                </c:pt>
                <c:pt idx="2">
                  <c:v>水净化服务</c:v>
                </c:pt>
                <c:pt idx="3">
                  <c:v>生物防治</c:v>
                </c:pt>
                <c:pt idx="4">
                  <c:v>空气过滤服务</c:v>
                </c:pt>
                <c:pt idx="5">
                  <c:v>洪水缓解服务</c:v>
                </c:pt>
                <c:pt idx="6">
                  <c:v>气候调节</c:v>
                </c:pt>
                <c:pt idx="7">
                  <c:v>供水</c:v>
                </c:pt>
                <c:pt idx="8">
                  <c:v>噪音减弱</c:v>
                </c:pt>
                <c:pt idx="9">
                  <c:v>风暴减缓服务</c:v>
                </c:pt>
                <c:pt idx="10">
                  <c:v>水流调节服务</c:v>
                </c:pt>
                <c:pt idx="11">
                  <c:v>降雨模式调节服务</c:v>
                </c:pt>
              </c:strCache>
            </c:strRef>
          </c:cat>
          <c:val>
            <c:numRef>
              <c:f>'[TNFD报告自然披露数据-乌海银行ENCORE.xlsx]依赖各因素统计'!$R$16:$AC$16</c:f>
              <c:numCache>
                <c:formatCode>0.0%</c:formatCode>
                <c:ptCount val="12"/>
                <c:pt idx="0">
                  <c:v>0.1</c:v>
                </c:pt>
                <c:pt idx="1">
                  <c:v>0.357142857142857</c:v>
                </c:pt>
                <c:pt idx="2">
                  <c:v>0.181818181818182</c:v>
                </c:pt>
                <c:pt idx="3">
                  <c:v>1</c:v>
                </c:pt>
                <c:pt idx="4">
                  <c:v>0.916666666666667</c:v>
                </c:pt>
                <c:pt idx="5">
                  <c:v>0.285714285714286</c:v>
                </c:pt>
                <c:pt idx="6">
                  <c:v>0.583333333333333</c:v>
                </c:pt>
                <c:pt idx="7">
                  <c:v>0.285714285714286</c:v>
                </c:pt>
                <c:pt idx="8">
                  <c:v>1</c:v>
                </c:pt>
                <c:pt idx="9">
                  <c:v>0.0714285714285714</c:v>
                </c:pt>
                <c:pt idx="10">
                  <c:v>0.142857142857143</c:v>
                </c:pt>
                <c:pt idx="11">
                  <c:v>0.4</c:v>
                </c:pt>
              </c:numCache>
            </c:numRef>
          </c:val>
        </c:ser>
        <c:ser>
          <c:idx val="0"/>
          <c:order val="1"/>
          <c:tx>
            <c:strRef>
              <c:f>'[TNFD报告自然披露数据-乌海银行ENCORE.xlsx]依赖各因素统计'!$Q$17</c:f>
              <c:strCache>
                <c:ptCount val="1"/>
                <c:pt idx="0">
                  <c:v>L</c:v>
                </c:pt>
              </c:strCache>
            </c:strRef>
          </c:tx>
          <c:spPr>
            <a:solidFill>
              <a:schemeClr val="accent6">
                <a:lumMod val="40000"/>
                <a:lumOff val="60000"/>
              </a:schemeClr>
            </a:solidFill>
            <a:ln>
              <a:noFill/>
            </a:ln>
            <a:effectLst/>
          </c:spPr>
          <c:invertIfNegative val="0"/>
          <c:dLbls>
            <c:delete val="1"/>
          </c:dLbls>
          <c:cat>
            <c:strRef>
              <c:f>'[TNFD报告自然披露数据-乌海银行ENCORE.xlsx]依赖各因素统计'!$R$14:$AC$14</c:f>
              <c:strCache>
                <c:ptCount val="12"/>
                <c:pt idx="0">
                  <c:v>固体废物修复</c:v>
                </c:pt>
                <c:pt idx="1">
                  <c:v>土壤与沉积物维持</c:v>
                </c:pt>
                <c:pt idx="2">
                  <c:v>水净化服务</c:v>
                </c:pt>
                <c:pt idx="3">
                  <c:v>生物防治</c:v>
                </c:pt>
                <c:pt idx="4">
                  <c:v>空气过滤服务</c:v>
                </c:pt>
                <c:pt idx="5">
                  <c:v>洪水缓解服务</c:v>
                </c:pt>
                <c:pt idx="6">
                  <c:v>气候调节</c:v>
                </c:pt>
                <c:pt idx="7">
                  <c:v>供水</c:v>
                </c:pt>
                <c:pt idx="8">
                  <c:v>噪音减弱</c:v>
                </c:pt>
                <c:pt idx="9">
                  <c:v>风暴减缓服务</c:v>
                </c:pt>
                <c:pt idx="10">
                  <c:v>水流调节服务</c:v>
                </c:pt>
                <c:pt idx="11">
                  <c:v>降雨模式调节服务</c:v>
                </c:pt>
              </c:strCache>
            </c:strRef>
          </c:cat>
          <c:val>
            <c:numRef>
              <c:f>'[TNFD报告自然披露数据-乌海银行ENCORE.xlsx]依赖各因素统计'!$R$17:$AC$17</c:f>
              <c:numCache>
                <c:formatCode>0.0%</c:formatCode>
                <c:ptCount val="12"/>
                <c:pt idx="0">
                  <c:v>0.4</c:v>
                </c:pt>
                <c:pt idx="1">
                  <c:v>0.285714285714286</c:v>
                </c:pt>
                <c:pt idx="2">
                  <c:v>0</c:v>
                </c:pt>
                <c:pt idx="3">
                  <c:v>0</c:v>
                </c:pt>
                <c:pt idx="4">
                  <c:v>0</c:v>
                </c:pt>
                <c:pt idx="5">
                  <c:v>0</c:v>
                </c:pt>
                <c:pt idx="6">
                  <c:v>0</c:v>
                </c:pt>
                <c:pt idx="7">
                  <c:v>0.0714285714285714</c:v>
                </c:pt>
                <c:pt idx="8">
                  <c:v>0</c:v>
                </c:pt>
                <c:pt idx="9">
                  <c:v>0.357142857142857</c:v>
                </c:pt>
                <c:pt idx="10">
                  <c:v>0.214285714285714</c:v>
                </c:pt>
                <c:pt idx="11">
                  <c:v>0</c:v>
                </c:pt>
              </c:numCache>
            </c:numRef>
          </c:val>
        </c:ser>
        <c:ser>
          <c:idx val="1"/>
          <c:order val="2"/>
          <c:tx>
            <c:strRef>
              <c:f>'[TNFD报告自然披露数据-乌海银行ENCORE.xlsx]依赖各因素统计'!$Q$18</c:f>
              <c:strCache>
                <c:ptCount val="1"/>
                <c:pt idx="0">
                  <c:v>M</c:v>
                </c:pt>
              </c:strCache>
            </c:strRef>
          </c:tx>
          <c:spPr>
            <a:solidFill>
              <a:schemeClr val="accent6"/>
            </a:solidFill>
            <a:ln>
              <a:noFill/>
            </a:ln>
            <a:effectLst/>
          </c:spPr>
          <c:invertIfNegative val="0"/>
          <c:dLbls>
            <c:delete val="1"/>
          </c:dLbls>
          <c:cat>
            <c:strRef>
              <c:f>'[TNFD报告自然披露数据-乌海银行ENCORE.xlsx]依赖各因素统计'!$R$14:$AC$14</c:f>
              <c:strCache>
                <c:ptCount val="12"/>
                <c:pt idx="0">
                  <c:v>固体废物修复</c:v>
                </c:pt>
                <c:pt idx="1">
                  <c:v>土壤与沉积物维持</c:v>
                </c:pt>
                <c:pt idx="2">
                  <c:v>水净化服务</c:v>
                </c:pt>
                <c:pt idx="3">
                  <c:v>生物防治</c:v>
                </c:pt>
                <c:pt idx="4">
                  <c:v>空气过滤服务</c:v>
                </c:pt>
                <c:pt idx="5">
                  <c:v>洪水缓解服务</c:v>
                </c:pt>
                <c:pt idx="6">
                  <c:v>气候调节</c:v>
                </c:pt>
                <c:pt idx="7">
                  <c:v>供水</c:v>
                </c:pt>
                <c:pt idx="8">
                  <c:v>噪音减弱</c:v>
                </c:pt>
                <c:pt idx="9">
                  <c:v>风暴减缓服务</c:v>
                </c:pt>
                <c:pt idx="10">
                  <c:v>水流调节服务</c:v>
                </c:pt>
                <c:pt idx="11">
                  <c:v>降雨模式调节服务</c:v>
                </c:pt>
              </c:strCache>
            </c:strRef>
          </c:cat>
          <c:val>
            <c:numRef>
              <c:f>'[TNFD报告自然披露数据-乌海银行ENCORE.xlsx]依赖各因素统计'!$R$18:$AC$18</c:f>
              <c:numCache>
                <c:formatCode>0.0%</c:formatCode>
                <c:ptCount val="12"/>
                <c:pt idx="0">
                  <c:v>0.2</c:v>
                </c:pt>
                <c:pt idx="1">
                  <c:v>0.285714285714286</c:v>
                </c:pt>
                <c:pt idx="2">
                  <c:v>0.818181818181818</c:v>
                </c:pt>
                <c:pt idx="3">
                  <c:v>0</c:v>
                </c:pt>
                <c:pt idx="4">
                  <c:v>0.0833333333333333</c:v>
                </c:pt>
                <c:pt idx="5">
                  <c:v>0.642857142857143</c:v>
                </c:pt>
                <c:pt idx="6">
                  <c:v>0.416666666666667</c:v>
                </c:pt>
                <c:pt idx="7">
                  <c:v>0.5</c:v>
                </c:pt>
                <c:pt idx="8">
                  <c:v>0</c:v>
                </c:pt>
                <c:pt idx="9">
                  <c:v>0.5</c:v>
                </c:pt>
                <c:pt idx="10">
                  <c:v>0.428571428571429</c:v>
                </c:pt>
                <c:pt idx="11">
                  <c:v>0.5</c:v>
                </c:pt>
              </c:numCache>
            </c:numRef>
          </c:val>
        </c:ser>
        <c:ser>
          <c:idx val="2"/>
          <c:order val="3"/>
          <c:tx>
            <c:strRef>
              <c:f>'[TNFD报告自然披露数据-乌海银行ENCORE.xlsx]依赖各因素统计'!$Q$19</c:f>
              <c:strCache>
                <c:ptCount val="1"/>
                <c:pt idx="0">
                  <c:v>H</c:v>
                </c:pt>
              </c:strCache>
            </c:strRef>
          </c:tx>
          <c:spPr>
            <a:solidFill>
              <a:schemeClr val="accent6">
                <a:lumMod val="75000"/>
              </a:schemeClr>
            </a:solidFill>
            <a:ln>
              <a:noFill/>
            </a:ln>
            <a:effectLst/>
          </c:spPr>
          <c:invertIfNegative val="0"/>
          <c:dLbls>
            <c:delete val="1"/>
          </c:dLbls>
          <c:cat>
            <c:strRef>
              <c:f>'[TNFD报告自然披露数据-乌海银行ENCORE.xlsx]依赖各因素统计'!$R$14:$AC$14</c:f>
              <c:strCache>
                <c:ptCount val="12"/>
                <c:pt idx="0">
                  <c:v>固体废物修复</c:v>
                </c:pt>
                <c:pt idx="1">
                  <c:v>土壤与沉积物维持</c:v>
                </c:pt>
                <c:pt idx="2">
                  <c:v>水净化服务</c:v>
                </c:pt>
                <c:pt idx="3">
                  <c:v>生物防治</c:v>
                </c:pt>
                <c:pt idx="4">
                  <c:v>空气过滤服务</c:v>
                </c:pt>
                <c:pt idx="5">
                  <c:v>洪水缓解服务</c:v>
                </c:pt>
                <c:pt idx="6">
                  <c:v>气候调节</c:v>
                </c:pt>
                <c:pt idx="7">
                  <c:v>供水</c:v>
                </c:pt>
                <c:pt idx="8">
                  <c:v>噪音减弱</c:v>
                </c:pt>
                <c:pt idx="9">
                  <c:v>风暴减缓服务</c:v>
                </c:pt>
                <c:pt idx="10">
                  <c:v>水流调节服务</c:v>
                </c:pt>
                <c:pt idx="11">
                  <c:v>降雨模式调节服务</c:v>
                </c:pt>
              </c:strCache>
            </c:strRef>
          </c:cat>
          <c:val>
            <c:numRef>
              <c:f>'[TNFD报告自然披露数据-乌海银行ENCORE.xlsx]依赖各因素统计'!$R$19:$AC$19</c:f>
              <c:numCache>
                <c:formatCode>0.0%</c:formatCode>
                <c:ptCount val="12"/>
                <c:pt idx="0">
                  <c:v>0.1</c:v>
                </c:pt>
                <c:pt idx="1">
                  <c:v>0.0714285714285714</c:v>
                </c:pt>
                <c:pt idx="2">
                  <c:v>0</c:v>
                </c:pt>
                <c:pt idx="3">
                  <c:v>0</c:v>
                </c:pt>
                <c:pt idx="4">
                  <c:v>0</c:v>
                </c:pt>
                <c:pt idx="5">
                  <c:v>0.0714285714285714</c:v>
                </c:pt>
                <c:pt idx="6">
                  <c:v>0</c:v>
                </c:pt>
                <c:pt idx="7">
                  <c:v>0.142857142857143</c:v>
                </c:pt>
                <c:pt idx="8">
                  <c:v>0</c:v>
                </c:pt>
                <c:pt idx="9">
                  <c:v>0.0714285714285714</c:v>
                </c:pt>
                <c:pt idx="10">
                  <c:v>0.214285714285714</c:v>
                </c:pt>
                <c:pt idx="11">
                  <c:v>0</c:v>
                </c:pt>
              </c:numCache>
            </c:numRef>
          </c:val>
        </c:ser>
        <c:ser>
          <c:idx val="4"/>
          <c:order val="4"/>
          <c:tx>
            <c:strRef>
              <c:f>'[TNFD报告自然披露数据-乌海银行ENCORE.xlsx]依赖各因素统计'!$Q$20</c:f>
              <c:strCache>
                <c:ptCount val="1"/>
                <c:pt idx="0">
                  <c:v>VH</c:v>
                </c:pt>
              </c:strCache>
            </c:strRef>
          </c:tx>
          <c:spPr>
            <a:solidFill>
              <a:schemeClr val="accent6">
                <a:lumMod val="50000"/>
              </a:schemeClr>
            </a:solidFill>
            <a:ln>
              <a:noFill/>
            </a:ln>
            <a:effectLst/>
          </c:spPr>
          <c:invertIfNegative val="0"/>
          <c:dLbls>
            <c:delete val="1"/>
          </c:dLbls>
          <c:cat>
            <c:strRef>
              <c:f>'[TNFD报告自然披露数据-乌海银行ENCORE.xlsx]依赖各因素统计'!$R$14:$AC$14</c:f>
              <c:strCache>
                <c:ptCount val="12"/>
                <c:pt idx="0">
                  <c:v>固体废物修复</c:v>
                </c:pt>
                <c:pt idx="1">
                  <c:v>土壤与沉积物维持</c:v>
                </c:pt>
                <c:pt idx="2">
                  <c:v>水净化服务</c:v>
                </c:pt>
                <c:pt idx="3">
                  <c:v>生物防治</c:v>
                </c:pt>
                <c:pt idx="4">
                  <c:v>空气过滤服务</c:v>
                </c:pt>
                <c:pt idx="5">
                  <c:v>洪水缓解服务</c:v>
                </c:pt>
                <c:pt idx="6">
                  <c:v>气候调节</c:v>
                </c:pt>
                <c:pt idx="7">
                  <c:v>供水</c:v>
                </c:pt>
                <c:pt idx="8">
                  <c:v>噪音减弱</c:v>
                </c:pt>
                <c:pt idx="9">
                  <c:v>风暴减缓服务</c:v>
                </c:pt>
                <c:pt idx="10">
                  <c:v>水流调节服务</c:v>
                </c:pt>
                <c:pt idx="11">
                  <c:v>降雨模式调节服务</c:v>
                </c:pt>
              </c:strCache>
            </c:strRef>
          </c:cat>
          <c:val>
            <c:numRef>
              <c:f>'[TNFD报告自然披露数据-乌海银行ENCORE.xlsx]依赖各因素统计'!$R$20:$AC$20</c:f>
              <c:numCache>
                <c:formatCode>0.0%</c:formatCode>
                <c:ptCount val="12"/>
                <c:pt idx="0">
                  <c:v>0.2</c:v>
                </c:pt>
                <c:pt idx="1">
                  <c:v>0</c:v>
                </c:pt>
                <c:pt idx="2">
                  <c:v>0</c:v>
                </c:pt>
                <c:pt idx="3">
                  <c:v>0</c:v>
                </c:pt>
                <c:pt idx="4">
                  <c:v>0</c:v>
                </c:pt>
                <c:pt idx="5">
                  <c:v>0</c:v>
                </c:pt>
                <c:pt idx="6">
                  <c:v>0</c:v>
                </c:pt>
                <c:pt idx="7">
                  <c:v>0</c:v>
                </c:pt>
                <c:pt idx="8">
                  <c:v>0</c:v>
                </c:pt>
                <c:pt idx="9">
                  <c:v>0</c:v>
                </c:pt>
                <c:pt idx="10">
                  <c:v>0</c:v>
                </c:pt>
                <c:pt idx="11">
                  <c:v>0.1</c:v>
                </c:pt>
              </c:numCache>
            </c:numRef>
          </c:val>
        </c:ser>
        <c:dLbls>
          <c:showLegendKey val="0"/>
          <c:showVal val="0"/>
          <c:showCatName val="0"/>
          <c:showSerName val="0"/>
          <c:showPercent val="0"/>
          <c:showBubbleSize val="0"/>
        </c:dLbls>
        <c:gapWidth val="140"/>
        <c:overlap val="-40"/>
        <c:axId val="487646245"/>
        <c:axId val="698318759"/>
      </c:barChart>
      <c:catAx>
        <c:axId val="487646245"/>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8318759"/>
        <c:crosses val="autoZero"/>
        <c:auto val="1"/>
        <c:lblAlgn val="ctr"/>
        <c:lblOffset val="100"/>
        <c:noMultiLvlLbl val="0"/>
      </c:catAx>
      <c:valAx>
        <c:axId val="698318759"/>
        <c:scaling>
          <c:orientation val="minMax"/>
          <c:max val="1"/>
        </c:scaling>
        <c:delete val="0"/>
        <c:axPos val="b"/>
        <c:majorGridlines>
          <c:spPr>
            <a:ln w="9525" cap="flat" cmpd="sng" algn="ctr">
              <a:solidFill>
                <a:schemeClr val="lt1">
                  <a:lumMod val="90200"/>
                </a:schemeClr>
              </a:solidFill>
              <a:round/>
            </a:ln>
            <a:effectLst/>
          </c:spPr>
        </c:majorGridlines>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487646245"/>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4"/>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manualLayout>
          <c:xMode val="edge"/>
          <c:yMode val="edge"/>
          <c:x val="0.701132803085081"/>
          <c:y val="0.893831168831169"/>
        </c:manualLayout>
      </c:layout>
      <c:overlay val="0"/>
      <c:spPr>
        <a:solidFill>
          <a:schemeClr val="bg1"/>
        </a:solid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2e1db0dd-1708-447f-a929-191e032f50a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delete val="1"/>
          </c:dLbls>
          <c:cat>
            <c:strRef>
              <c:f>'[TNFD报告自然披露数据-乌海银行ENCORE.xlsx]行业依赖统计图'!$B$3:$B$16</c:f>
              <c:strCache>
                <c:ptCount val="14"/>
                <c:pt idx="0">
                  <c:v>D4620-污水处理及其再生利用</c:v>
                </c:pt>
                <c:pt idx="1">
                  <c:v>E4710-住宅房屋建筑</c:v>
                </c:pt>
                <c:pt idx="2">
                  <c:v>D4416-太阳能发电</c:v>
                </c:pt>
                <c:pt idx="3">
                  <c:v>D4420-电力供应</c:v>
                </c:pt>
                <c:pt idx="4">
                  <c:v>N7724-危险废物治理</c:v>
                </c:pt>
                <c:pt idx="5">
                  <c:v>C2624-复混肥料制造</c:v>
                </c:pt>
                <c:pt idx="6">
                  <c:v>C2625-有机肥料及微生物肥料制造</c:v>
                </c:pt>
                <c:pt idx="7">
                  <c:v>C3441-泵及真空设备制造</c:v>
                </c:pt>
                <c:pt idx="8">
                  <c:v>C3825-光伏设备及元器件制造</c:v>
                </c:pt>
                <c:pt idx="9">
                  <c:v>C4220-非金属废料和碎屑加工处理</c:v>
                </c:pt>
                <c:pt idx="10">
                  <c:v>G5431-普通货物道路运输</c:v>
                </c:pt>
                <c:pt idx="11">
                  <c:v>G5439-其他道路货物运输</c:v>
                </c:pt>
                <c:pt idx="12">
                  <c:v>M7514-节能技术推广服务</c:v>
                </c:pt>
                <c:pt idx="13">
                  <c:v>M7515-新能源技术推广服务</c:v>
                </c:pt>
              </c:strCache>
            </c:strRef>
          </c:cat>
          <c:val>
            <c:numRef>
              <c:f>'[TNFD报告自然披露数据-乌海银行ENCORE.xlsx]行业依赖统计图'!$C$3:$C$16</c:f>
              <c:numCache>
                <c:formatCode>General</c:formatCode>
                <c:ptCount val="14"/>
                <c:pt idx="0">
                  <c:v>30</c:v>
                </c:pt>
                <c:pt idx="1">
                  <c:v>30</c:v>
                </c:pt>
                <c:pt idx="2">
                  <c:v>27</c:v>
                </c:pt>
                <c:pt idx="3">
                  <c:v>27</c:v>
                </c:pt>
                <c:pt idx="4">
                  <c:v>25</c:v>
                </c:pt>
                <c:pt idx="5">
                  <c:v>24</c:v>
                </c:pt>
                <c:pt idx="6">
                  <c:v>24</c:v>
                </c:pt>
                <c:pt idx="7">
                  <c:v>23</c:v>
                </c:pt>
                <c:pt idx="8">
                  <c:v>23</c:v>
                </c:pt>
                <c:pt idx="9">
                  <c:v>21</c:v>
                </c:pt>
                <c:pt idx="10">
                  <c:v>19</c:v>
                </c:pt>
                <c:pt idx="11">
                  <c:v>19</c:v>
                </c:pt>
                <c:pt idx="12">
                  <c:v>8</c:v>
                </c:pt>
                <c:pt idx="13">
                  <c:v>8</c:v>
                </c:pt>
              </c:numCache>
            </c:numRef>
          </c:val>
        </c:ser>
        <c:dLbls>
          <c:showLegendKey val="0"/>
          <c:showVal val="0"/>
          <c:showCatName val="0"/>
          <c:showSerName val="0"/>
          <c:showPercent val="0"/>
          <c:showBubbleSize val="0"/>
        </c:dLbls>
        <c:gapWidth val="246"/>
        <c:overlap val="-28"/>
        <c:axId val="649975585"/>
        <c:axId val="843761156"/>
      </c:barChart>
      <c:catAx>
        <c:axId val="64997558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spcFirstLastPara="0" vertOverflow="ellipsis" vert="mongolianVert"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43761156"/>
        <c:crosses val="autoZero"/>
        <c:auto val="1"/>
        <c:lblAlgn val="ctr"/>
        <c:lblOffset val="100"/>
        <c:noMultiLvlLbl val="0"/>
      </c:catAx>
      <c:valAx>
        <c:axId val="84376115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649975585"/>
        <c:crosses val="autoZero"/>
        <c:crossBetween val="between"/>
      </c:valAx>
      <c:spPr>
        <a:noFill/>
        <a:ln>
          <a:noFill/>
        </a:ln>
        <a:effectLst/>
      </c:spPr>
    </c:plotArea>
    <c:plotVisOnly val="1"/>
    <c:dispBlanksAs val="gap"/>
    <c:showDLblsOverMax val="0"/>
    <c:extLst>
      <c:ext uri="{0b15fc19-7d7d-44ad-8c2d-2c3a37ce22c3}">
        <chartProps xmlns="https://web.wps.cn/et/2018/main" chartId="{cf152404-e4d1-462e-ac02-ac3aa9f7595f}"/>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3909846932626"/>
          <c:y val="0.0925981721402029"/>
          <c:w val="0.687164035193443"/>
          <c:h val="0.866064075524756"/>
        </c:manualLayout>
      </c:layout>
      <c:barChart>
        <c:barDir val="bar"/>
        <c:grouping val="clustered"/>
        <c:varyColors val="0"/>
        <c:ser>
          <c:idx val="0"/>
          <c:order val="0"/>
          <c:tx>
            <c:strRef>
              <c:f>'D:\联合赤道工作资料\2026-03-04 灵山联社TNFD（交付）\02 数据\[TNFD报告自然披露数据-灵山农信社ENCORE-02.xlsx]影响数据统计'!$O$13</c:f>
              <c:strCache>
                <c:ptCount val="1"/>
                <c:pt idx="0">
                  <c:v>VH</c:v>
                </c:pt>
              </c:strCache>
            </c:strRef>
          </c:tx>
          <c:spPr>
            <a:solidFill>
              <a:schemeClr val="accent6">
                <a:lumMod val="20000"/>
                <a:lumOff val="80000"/>
              </a:schemeClr>
            </a:solidFill>
            <a:ln>
              <a:noFill/>
            </a:ln>
            <a:effectLst/>
          </c:spPr>
          <c:invertIfNegative val="0"/>
          <c:dLbls>
            <c:delete val="1"/>
          </c:dLbls>
          <c:cat>
            <c:strRef>
              <c:f>'D:\联合赤道工作资料\2026-03-04 灵山联社TNFD（交付）\02 数据\[TNFD报告自然披露数据-灵山农信社ENCORE-02.xlsx]影响数据统计'!$P$12:$Y$12</c:f>
              <c:strCache>
                <c:ptCount val="10"/>
                <c:pt idx="0">
                  <c:v>干扰活动（噪音、光线）</c:v>
                </c:pt>
                <c:pt idx="1">
                  <c:v>淡水使用</c:v>
                </c:pt>
                <c:pt idx="2">
                  <c:v>温室气体排放</c:v>
                </c:pt>
                <c:pt idx="3">
                  <c:v>非温室气体空气污染物排放</c:v>
                </c:pt>
                <c:pt idx="4">
                  <c:v>有毒污染物水土排放</c:v>
                </c:pt>
                <c:pt idx="5">
                  <c:v>营养污染物水土排放</c:v>
                </c:pt>
                <c:pt idx="6">
                  <c:v>固体废物产生排放</c:v>
                </c:pt>
                <c:pt idx="7">
                  <c:v>土地利用</c:v>
                </c:pt>
                <c:pt idx="8">
                  <c:v>水资源利用</c:v>
                </c:pt>
                <c:pt idx="9">
                  <c:v>入侵物种引入</c:v>
                </c:pt>
              </c:strCache>
            </c:strRef>
          </c:cat>
          <c:val>
            <c:numRef>
              <c:f>'D:\联合赤道工作资料\2026-03-04 灵山联社TNFD（交付）\02 数据\[TNFD报告自然披露数据-灵山农信社ENCORE-02.xlsx]影响数据统计'!$P$13:$Y$13</c:f>
              <c:numCache>
                <c:formatCode>General</c:formatCode>
                <c:ptCount val="10"/>
                <c:pt idx="0">
                  <c:v>0.0476190476190476</c:v>
                </c:pt>
                <c:pt idx="1">
                  <c:v>0</c:v>
                </c:pt>
                <c:pt idx="2">
                  <c:v>0</c:v>
                </c:pt>
                <c:pt idx="3">
                  <c:v>0.0476190476190476</c:v>
                </c:pt>
                <c:pt idx="4">
                  <c:v>0.136363636363636</c:v>
                </c:pt>
                <c:pt idx="5">
                  <c:v>0.142857142857143</c:v>
                </c:pt>
                <c:pt idx="6">
                  <c:v>0.0454545454545455</c:v>
                </c:pt>
                <c:pt idx="7">
                  <c:v>0.1</c:v>
                </c:pt>
                <c:pt idx="8">
                  <c:v>0.0454545454545455</c:v>
                </c:pt>
                <c:pt idx="9">
                  <c:v>0.166666666666667</c:v>
                </c:pt>
              </c:numCache>
            </c:numRef>
          </c:val>
        </c:ser>
        <c:ser>
          <c:idx val="1"/>
          <c:order val="1"/>
          <c:tx>
            <c:strRef>
              <c:f>'D:\联合赤道工作资料\2026-03-04 灵山联社TNFD（交付）\02 数据\[TNFD报告自然披露数据-灵山农信社ENCORE-02.xlsx]影响数据统计'!$O$14</c:f>
              <c:strCache>
                <c:ptCount val="1"/>
                <c:pt idx="0">
                  <c:v>H</c:v>
                </c:pt>
              </c:strCache>
            </c:strRef>
          </c:tx>
          <c:spPr>
            <a:solidFill>
              <a:schemeClr val="accent6">
                <a:lumMod val="40000"/>
                <a:lumOff val="60000"/>
              </a:schemeClr>
            </a:solidFill>
            <a:ln>
              <a:noFill/>
            </a:ln>
            <a:effectLst/>
          </c:spPr>
          <c:invertIfNegative val="0"/>
          <c:dLbls>
            <c:delete val="1"/>
          </c:dLbls>
          <c:cat>
            <c:strRef>
              <c:f>'D:\联合赤道工作资料\2026-03-04 灵山联社TNFD（交付）\02 数据\[TNFD报告自然披露数据-灵山农信社ENCORE-02.xlsx]影响数据统计'!$P$12:$Y$12</c:f>
              <c:strCache>
                <c:ptCount val="10"/>
                <c:pt idx="0">
                  <c:v>干扰活动（噪音、光线）</c:v>
                </c:pt>
                <c:pt idx="1">
                  <c:v>淡水使用</c:v>
                </c:pt>
                <c:pt idx="2">
                  <c:v>温室气体排放</c:v>
                </c:pt>
                <c:pt idx="3">
                  <c:v>非温室气体空气污染物排放</c:v>
                </c:pt>
                <c:pt idx="4">
                  <c:v>有毒污染物水土排放</c:v>
                </c:pt>
                <c:pt idx="5">
                  <c:v>营养污染物水土排放</c:v>
                </c:pt>
                <c:pt idx="6">
                  <c:v>固体废物产生排放</c:v>
                </c:pt>
                <c:pt idx="7">
                  <c:v>土地利用</c:v>
                </c:pt>
                <c:pt idx="8">
                  <c:v>水资源利用</c:v>
                </c:pt>
                <c:pt idx="9">
                  <c:v>入侵物种引入</c:v>
                </c:pt>
              </c:strCache>
            </c:strRef>
          </c:cat>
          <c:val>
            <c:numRef>
              <c:f>'D:\联合赤道工作资料\2026-03-04 灵山联社TNFD（交付）\02 数据\[TNFD报告自然披露数据-灵山农信社ENCORE-02.xlsx]影响数据统计'!$P$14:$Y$14</c:f>
              <c:numCache>
                <c:formatCode>General</c:formatCode>
                <c:ptCount val="10"/>
                <c:pt idx="0">
                  <c:v>0.0476190476190476</c:v>
                </c:pt>
                <c:pt idx="1">
                  <c:v>0.2</c:v>
                </c:pt>
                <c:pt idx="2">
                  <c:v>0.0909090909090909</c:v>
                </c:pt>
                <c:pt idx="3">
                  <c:v>0.238095238095238</c:v>
                </c:pt>
                <c:pt idx="4">
                  <c:v>0.181818181818182</c:v>
                </c:pt>
                <c:pt idx="5">
                  <c:v>0.142857142857143</c:v>
                </c:pt>
                <c:pt idx="6">
                  <c:v>0.136363636363636</c:v>
                </c:pt>
                <c:pt idx="7">
                  <c:v>0.05</c:v>
                </c:pt>
                <c:pt idx="8">
                  <c:v>0.0454545454545455</c:v>
                </c:pt>
                <c:pt idx="9">
                  <c:v>0.166666666666667</c:v>
                </c:pt>
              </c:numCache>
            </c:numRef>
          </c:val>
        </c:ser>
        <c:ser>
          <c:idx val="2"/>
          <c:order val="2"/>
          <c:tx>
            <c:strRef>
              <c:f>'D:\联合赤道工作资料\2026-03-04 灵山联社TNFD（交付）\02 数据\[TNFD报告自然披露数据-灵山农信社ENCORE-02.xlsx]影响数据统计'!$O$15</c:f>
              <c:strCache>
                <c:ptCount val="1"/>
                <c:pt idx="0">
                  <c:v>M</c:v>
                </c:pt>
              </c:strCache>
            </c:strRef>
          </c:tx>
          <c:spPr>
            <a:solidFill>
              <a:schemeClr val="accent6">
                <a:lumMod val="60000"/>
                <a:lumOff val="40000"/>
              </a:schemeClr>
            </a:solidFill>
            <a:ln>
              <a:noFill/>
            </a:ln>
            <a:effectLst/>
          </c:spPr>
          <c:invertIfNegative val="0"/>
          <c:dLbls>
            <c:delete val="1"/>
          </c:dLbls>
          <c:cat>
            <c:strRef>
              <c:f>'D:\联合赤道工作资料\2026-03-04 灵山联社TNFD（交付）\02 数据\[TNFD报告自然披露数据-灵山农信社ENCORE-02.xlsx]影响数据统计'!$P$12:$Y$12</c:f>
              <c:strCache>
                <c:ptCount val="10"/>
                <c:pt idx="0">
                  <c:v>干扰活动（噪音、光线）</c:v>
                </c:pt>
                <c:pt idx="1">
                  <c:v>淡水使用</c:v>
                </c:pt>
                <c:pt idx="2">
                  <c:v>温室气体排放</c:v>
                </c:pt>
                <c:pt idx="3">
                  <c:v>非温室气体空气污染物排放</c:v>
                </c:pt>
                <c:pt idx="4">
                  <c:v>有毒污染物水土排放</c:v>
                </c:pt>
                <c:pt idx="5">
                  <c:v>营养污染物水土排放</c:v>
                </c:pt>
                <c:pt idx="6">
                  <c:v>固体废物产生排放</c:v>
                </c:pt>
                <c:pt idx="7">
                  <c:v>土地利用</c:v>
                </c:pt>
                <c:pt idx="8">
                  <c:v>水资源利用</c:v>
                </c:pt>
                <c:pt idx="9">
                  <c:v>入侵物种引入</c:v>
                </c:pt>
              </c:strCache>
            </c:strRef>
          </c:cat>
          <c:val>
            <c:numRef>
              <c:f>'D:\联合赤道工作资料\2026-03-04 灵山联社TNFD（交付）\02 数据\[TNFD报告自然披露数据-灵山农信社ENCORE-02.xlsx]影响数据统计'!$P$15:$Y$15</c:f>
              <c:numCache>
                <c:formatCode>General</c:formatCode>
                <c:ptCount val="10"/>
                <c:pt idx="0">
                  <c:v>0.619047619047619</c:v>
                </c:pt>
                <c:pt idx="1">
                  <c:v>0.6</c:v>
                </c:pt>
                <c:pt idx="2">
                  <c:v>0.454545454545455</c:v>
                </c:pt>
                <c:pt idx="3">
                  <c:v>0.333333333333333</c:v>
                </c:pt>
                <c:pt idx="4">
                  <c:v>0.363636363636364</c:v>
                </c:pt>
                <c:pt idx="5">
                  <c:v>0.428571428571429</c:v>
                </c:pt>
                <c:pt idx="6">
                  <c:v>0.454545454545455</c:v>
                </c:pt>
                <c:pt idx="7">
                  <c:v>0.05</c:v>
                </c:pt>
                <c:pt idx="8">
                  <c:v>0.681818181818182</c:v>
                </c:pt>
                <c:pt idx="9">
                  <c:v>0.333333333333333</c:v>
                </c:pt>
              </c:numCache>
            </c:numRef>
          </c:val>
        </c:ser>
        <c:ser>
          <c:idx val="3"/>
          <c:order val="3"/>
          <c:tx>
            <c:strRef>
              <c:f>'D:\联合赤道工作资料\2026-03-04 灵山联社TNFD（交付）\02 数据\[TNFD报告自然披露数据-灵山农信社ENCORE-02.xlsx]影响数据统计'!$O$16</c:f>
              <c:strCache>
                <c:ptCount val="1"/>
                <c:pt idx="0">
                  <c:v>L</c:v>
                </c:pt>
              </c:strCache>
            </c:strRef>
          </c:tx>
          <c:spPr>
            <a:solidFill>
              <a:schemeClr val="accent6"/>
            </a:solidFill>
            <a:ln>
              <a:noFill/>
            </a:ln>
            <a:effectLst/>
          </c:spPr>
          <c:invertIfNegative val="0"/>
          <c:dLbls>
            <c:delete val="1"/>
          </c:dLbls>
          <c:cat>
            <c:strRef>
              <c:f>'D:\联合赤道工作资料\2026-03-04 灵山联社TNFD（交付）\02 数据\[TNFD报告自然披露数据-灵山农信社ENCORE-02.xlsx]影响数据统计'!$P$12:$Y$12</c:f>
              <c:strCache>
                <c:ptCount val="10"/>
                <c:pt idx="0">
                  <c:v>干扰活动（噪音、光线）</c:v>
                </c:pt>
                <c:pt idx="1">
                  <c:v>淡水使用</c:v>
                </c:pt>
                <c:pt idx="2">
                  <c:v>温室气体排放</c:v>
                </c:pt>
                <c:pt idx="3">
                  <c:v>非温室气体空气污染物排放</c:v>
                </c:pt>
                <c:pt idx="4">
                  <c:v>有毒污染物水土排放</c:v>
                </c:pt>
                <c:pt idx="5">
                  <c:v>营养污染物水土排放</c:v>
                </c:pt>
                <c:pt idx="6">
                  <c:v>固体废物产生排放</c:v>
                </c:pt>
                <c:pt idx="7">
                  <c:v>土地利用</c:v>
                </c:pt>
                <c:pt idx="8">
                  <c:v>水资源利用</c:v>
                </c:pt>
                <c:pt idx="9">
                  <c:v>入侵物种引入</c:v>
                </c:pt>
              </c:strCache>
            </c:strRef>
          </c:cat>
          <c:val>
            <c:numRef>
              <c:f>'D:\联合赤道工作资料\2026-03-04 灵山联社TNFD（交付）\02 数据\[TNFD报告自然披露数据-灵山农信社ENCORE-02.xlsx]影响数据统计'!$P$16:$Y$16</c:f>
              <c:numCache>
                <c:formatCode>General</c:formatCode>
                <c:ptCount val="10"/>
                <c:pt idx="0">
                  <c:v>0.19047619047619</c:v>
                </c:pt>
                <c:pt idx="1">
                  <c:v>0.2</c:v>
                </c:pt>
                <c:pt idx="2">
                  <c:v>0.318181818181818</c:v>
                </c:pt>
                <c:pt idx="3">
                  <c:v>0.285714285714286</c:v>
                </c:pt>
                <c:pt idx="4">
                  <c:v>0.181818181818182</c:v>
                </c:pt>
                <c:pt idx="5">
                  <c:v>0.285714285714286</c:v>
                </c:pt>
                <c:pt idx="6">
                  <c:v>0.181818181818182</c:v>
                </c:pt>
                <c:pt idx="7">
                  <c:v>0.8</c:v>
                </c:pt>
                <c:pt idx="8">
                  <c:v>0.227272727272727</c:v>
                </c:pt>
                <c:pt idx="9">
                  <c:v>0.333333333333333</c:v>
                </c:pt>
              </c:numCache>
            </c:numRef>
          </c:val>
        </c:ser>
        <c:ser>
          <c:idx val="4"/>
          <c:order val="4"/>
          <c:tx>
            <c:strRef>
              <c:f>'D:\联合赤道工作资料\2026-03-04 灵山联社TNFD（交付）\02 数据\[TNFD报告自然披露数据-灵山农信社ENCORE-02.xlsx]影响数据统计'!$O$17</c:f>
              <c:strCache>
                <c:ptCount val="1"/>
                <c:pt idx="0">
                  <c:v>VL</c:v>
                </c:pt>
              </c:strCache>
            </c:strRef>
          </c:tx>
          <c:spPr>
            <a:solidFill>
              <a:schemeClr val="accent6">
                <a:lumMod val="75000"/>
              </a:schemeClr>
            </a:solidFill>
            <a:ln>
              <a:noFill/>
            </a:ln>
            <a:effectLst/>
          </c:spPr>
          <c:invertIfNegative val="0"/>
          <c:dLbls>
            <c:delete val="1"/>
          </c:dLbls>
          <c:cat>
            <c:strRef>
              <c:f>'D:\联合赤道工作资料\2026-03-04 灵山联社TNFD（交付）\02 数据\[TNFD报告自然披露数据-灵山农信社ENCORE-02.xlsx]影响数据统计'!$P$12:$Y$12</c:f>
              <c:strCache>
                <c:ptCount val="10"/>
                <c:pt idx="0">
                  <c:v>干扰活动（噪音、光线）</c:v>
                </c:pt>
                <c:pt idx="1">
                  <c:v>淡水使用</c:v>
                </c:pt>
                <c:pt idx="2">
                  <c:v>温室气体排放</c:v>
                </c:pt>
                <c:pt idx="3">
                  <c:v>非温室气体空气污染物排放</c:v>
                </c:pt>
                <c:pt idx="4">
                  <c:v>有毒污染物水土排放</c:v>
                </c:pt>
                <c:pt idx="5">
                  <c:v>营养污染物水土排放</c:v>
                </c:pt>
                <c:pt idx="6">
                  <c:v>固体废物产生排放</c:v>
                </c:pt>
                <c:pt idx="7">
                  <c:v>土地利用</c:v>
                </c:pt>
                <c:pt idx="8">
                  <c:v>水资源利用</c:v>
                </c:pt>
                <c:pt idx="9">
                  <c:v>入侵物种引入</c:v>
                </c:pt>
              </c:strCache>
            </c:strRef>
          </c:cat>
          <c:val>
            <c:numRef>
              <c:f>'D:\联合赤道工作资料\2026-03-04 灵山联社TNFD（交付）\02 数据\[TNFD报告自然披露数据-灵山农信社ENCORE-02.xlsx]影响数据统计'!$P$17:$Y$17</c:f>
              <c:numCache>
                <c:formatCode>General</c:formatCode>
                <c:ptCount val="10"/>
                <c:pt idx="0">
                  <c:v>0.0952380952380952</c:v>
                </c:pt>
                <c:pt idx="1">
                  <c:v>0</c:v>
                </c:pt>
                <c:pt idx="2">
                  <c:v>0.136363636363636</c:v>
                </c:pt>
                <c:pt idx="3">
                  <c:v>0.0952380952380952</c:v>
                </c:pt>
                <c:pt idx="4">
                  <c:v>0.136363636363636</c:v>
                </c:pt>
                <c:pt idx="5">
                  <c:v>0</c:v>
                </c:pt>
                <c:pt idx="6">
                  <c:v>0.181818181818182</c:v>
                </c:pt>
                <c:pt idx="7">
                  <c:v>0</c:v>
                </c:pt>
                <c:pt idx="8">
                  <c:v>0</c:v>
                </c:pt>
                <c:pt idx="9">
                  <c:v>0</c:v>
                </c:pt>
              </c:numCache>
            </c:numRef>
          </c:val>
        </c:ser>
        <c:dLbls>
          <c:showLegendKey val="0"/>
          <c:showVal val="0"/>
          <c:showCatName val="0"/>
          <c:showSerName val="0"/>
          <c:showPercent val="0"/>
          <c:showBubbleSize val="0"/>
        </c:dLbls>
        <c:gapWidth val="140"/>
        <c:overlap val="-40"/>
        <c:axId val="487646245"/>
        <c:axId val="698318759"/>
      </c:barChart>
      <c:catAx>
        <c:axId val="487646245"/>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宋体 (正文)" charset="0"/>
                <a:ea typeface="宋体 (正文)" charset="0"/>
                <a:cs typeface="宋体 (正文)" charset="0"/>
                <a:sym typeface="宋体 (正文)" charset="0"/>
              </a:defRPr>
            </a:pPr>
          </a:p>
        </c:txPr>
        <c:crossAx val="698318759"/>
        <c:crosses val="autoZero"/>
        <c:auto val="1"/>
        <c:lblAlgn val="ctr"/>
        <c:lblOffset val="100"/>
        <c:noMultiLvlLbl val="0"/>
      </c:catAx>
      <c:valAx>
        <c:axId val="698318759"/>
        <c:scaling>
          <c:orientation val="minMax"/>
        </c:scaling>
        <c:delete val="0"/>
        <c:axPos val="b"/>
        <c:majorGridlines>
          <c:spPr>
            <a:ln w="9525" cap="flat" cmpd="sng" algn="ctr">
              <a:solidFill>
                <a:schemeClr val="lt1">
                  <a:lumMod val="90200"/>
                </a:schemeClr>
              </a:solidFill>
              <a:round/>
            </a:ln>
            <a:effectLst/>
          </c:spPr>
        </c:majorGridlines>
        <c:numFmt formatCode="0%" sourceLinked="0"/>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487646245"/>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4"/>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manualLayout>
          <c:xMode val="edge"/>
          <c:yMode val="edge"/>
          <c:x val="0.708870676148005"/>
          <c:y val="0.53670784372803"/>
        </c:manualLayout>
      </c:layout>
      <c:overlay val="0"/>
      <c:spPr>
        <a:solidFill>
          <a:schemeClr val="bg1"/>
        </a:solid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d7471249-25a0-4444-96b6-9b55069cae8b}"/>
      </c:ext>
    </c:extLst>
  </c:chart>
  <c:spPr>
    <a:solidFill>
      <a:schemeClr val="bg1"/>
    </a:solidFill>
    <a:ln w="9525" cap="flat" cmpd="sng" algn="ctr">
      <a:solidFill>
        <a:schemeClr val="tx1">
          <a:lumMod val="15000"/>
          <a:lumOff val="85000"/>
        </a:schemeClr>
      </a:solidFill>
      <a:round/>
    </a:ln>
    <a:effectLst/>
  </c:spPr>
  <c:txPr>
    <a:bodyPr/>
    <a:lstStyle/>
    <a:p>
      <a:pPr>
        <a:defRPr lang="zh-CN">
          <a:latin typeface="宋体 (正文)" charset="0"/>
          <a:ea typeface="宋体 (正文)" charset="0"/>
          <a:cs typeface="宋体 (正文)" charset="0"/>
          <a:sym typeface="宋体 (正文)" charset="0"/>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90342553334679"/>
          <c:y val="0.0323862799941116"/>
          <c:w val="0.948946766269601"/>
          <c:h val="0.478050934785809"/>
        </c:manualLayout>
      </c:layout>
      <c:barChart>
        <c:barDir val="col"/>
        <c:grouping val="clustered"/>
        <c:varyColors val="0"/>
        <c:ser>
          <c:idx val="0"/>
          <c:order val="0"/>
          <c:spPr>
            <a:solidFill>
              <a:schemeClr val="accent6"/>
            </a:solidFill>
            <a:ln>
              <a:noFill/>
            </a:ln>
            <a:effectLst/>
          </c:spPr>
          <c:invertIfNegative val="0"/>
          <c:dLbls>
            <c:delete val="1"/>
          </c:dLbls>
          <c:cat>
            <c:strRef>
              <c:f>'[TNFD报告自然披露数据-乌海银行ENCORE.xlsx]行业影响统计图'!$B$3:$B$16</c:f>
              <c:strCache>
                <c:ptCount val="14"/>
                <c:pt idx="0">
                  <c:v>D4620-污水处理及其再生利用</c:v>
                </c:pt>
                <c:pt idx="1">
                  <c:v>N7724-危险废物治理</c:v>
                </c:pt>
                <c:pt idx="2">
                  <c:v>D4416-太阳能发电</c:v>
                </c:pt>
                <c:pt idx="3">
                  <c:v>D4420-电力供应</c:v>
                </c:pt>
                <c:pt idx="4">
                  <c:v>E4710-住宅房屋建筑</c:v>
                </c:pt>
                <c:pt idx="5">
                  <c:v>C4220-非金属废料和碎屑加工处理</c:v>
                </c:pt>
                <c:pt idx="6">
                  <c:v>C2624-复混肥料制造</c:v>
                </c:pt>
                <c:pt idx="7">
                  <c:v>C2625-有机肥料及微生物肥料制造</c:v>
                </c:pt>
                <c:pt idx="8">
                  <c:v>G5431-普通货物道路运输</c:v>
                </c:pt>
                <c:pt idx="9">
                  <c:v>G5439-其他道路货物运输</c:v>
                </c:pt>
                <c:pt idx="10">
                  <c:v>C3441-泵及真空设备制造</c:v>
                </c:pt>
                <c:pt idx="11">
                  <c:v>C3825-光伏设备及元器件制造</c:v>
                </c:pt>
                <c:pt idx="12">
                  <c:v>M7514-节能技术推广服务</c:v>
                </c:pt>
                <c:pt idx="13">
                  <c:v>M7515-新能源技术推广服务</c:v>
                </c:pt>
              </c:strCache>
            </c:strRef>
          </c:cat>
          <c:val>
            <c:numRef>
              <c:f>'[TNFD报告自然披露数据-乌海银行ENCORE.xlsx]行业影响统计图'!$C$3:$C$16</c:f>
              <c:numCache>
                <c:formatCode>General</c:formatCode>
                <c:ptCount val="14"/>
                <c:pt idx="0">
                  <c:v>36</c:v>
                </c:pt>
                <c:pt idx="1">
                  <c:v>31</c:v>
                </c:pt>
                <c:pt idx="2">
                  <c:v>29</c:v>
                </c:pt>
                <c:pt idx="3">
                  <c:v>29</c:v>
                </c:pt>
                <c:pt idx="4">
                  <c:v>27</c:v>
                </c:pt>
                <c:pt idx="5">
                  <c:v>25</c:v>
                </c:pt>
                <c:pt idx="6">
                  <c:v>24</c:v>
                </c:pt>
                <c:pt idx="7">
                  <c:v>24</c:v>
                </c:pt>
                <c:pt idx="8">
                  <c:v>21</c:v>
                </c:pt>
                <c:pt idx="9">
                  <c:v>21</c:v>
                </c:pt>
                <c:pt idx="10">
                  <c:v>18</c:v>
                </c:pt>
                <c:pt idx="11">
                  <c:v>16</c:v>
                </c:pt>
                <c:pt idx="12">
                  <c:v>10</c:v>
                </c:pt>
                <c:pt idx="13">
                  <c:v>10</c:v>
                </c:pt>
              </c:numCache>
            </c:numRef>
          </c:val>
        </c:ser>
        <c:dLbls>
          <c:showLegendKey val="0"/>
          <c:showVal val="0"/>
          <c:showCatName val="0"/>
          <c:showSerName val="0"/>
          <c:showPercent val="0"/>
          <c:showBubbleSize val="0"/>
        </c:dLbls>
        <c:gapWidth val="246"/>
        <c:overlap val="-28"/>
        <c:axId val="649975585"/>
        <c:axId val="843761156"/>
      </c:barChart>
      <c:catAx>
        <c:axId val="64997558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spcFirstLastPara="0" vertOverflow="ellipsis" vert="mongolianVert"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43761156"/>
        <c:crosses val="autoZero"/>
        <c:auto val="1"/>
        <c:lblAlgn val="ctr"/>
        <c:lblOffset val="100"/>
        <c:noMultiLvlLbl val="0"/>
      </c:catAx>
      <c:valAx>
        <c:axId val="84376115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649975585"/>
        <c:crosses val="autoZero"/>
        <c:crossBetween val="between"/>
      </c:valAx>
      <c:spPr>
        <a:noFill/>
        <a:ln>
          <a:noFill/>
        </a:ln>
        <a:effectLst/>
      </c:spPr>
    </c:plotArea>
    <c:plotVisOnly val="1"/>
    <c:dispBlanksAs val="gap"/>
    <c:showDLblsOverMax val="0"/>
    <c:extLst>
      <c:ext uri="{0b15fc19-7d7d-44ad-8c2d-2c3a37ce22c3}">
        <chartProps xmlns="https://web.wps.cn/et/2018/main" chartId="{e7222b70-cc67-46c9-ac96-acfffa793964}"/>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aa5cd561-5d1b-4cc2-b1ee-47e37d2f5fbd</errorID>
      <errorWord>供应</errorWord>
      <group>L1_Grammar</group>
      <groupName>语法问题</groupName>
      <ability>L2_Grammar</ability>
      <abilityName>语法错误</abilityName>
      <candidateList>
        <item>提供</item>
      </candidateList>
      <explain>“供应～服务”搭配不当，建议修改为“提供～服务”。</explain>
      <paraID>175EB117</paraID>
      <start>18</start>
      <end>20</end>
      <status>unmodified</status>
      <modifiedWord/>
      <trackRevisions>false</trackRevisions>
    </reviewItem>
    <reviewItem>
      <errorID>60096b5b-4807-4aac-af12-3ff024ef59a0</errorID>
      <errorWord>五篇大文章</errorWord>
      <group>L1_Political</group>
      <groupName>政治性问题</groupName>
      <ability>L2_Keyword</ability>
      <abilityName>固定表述</abilityName>
      <candidateList>
        <item>‘五篇大文章’</item>
      </candidateList>
      <explain>注意检查当前固定表述标点是否使用规范。</explain>
      <paraID>2F67A905</paraID>
      <start>85</start>
      <end>90</end>
      <status>unmodified</status>
      <modifiedWord/>
      <trackRevisions>false</trackRevisions>
    </reviewItem>
    <reviewItem>
      <errorID>4843adcf-6224-4081-b9d6-1ca277c963d6</errorID>
      <errorWord>噪音</errorWord>
      <group>L1_Word</group>
      <groupName>字词问题</groupName>
      <ability>L2_Alias</ability>
      <abilityName>也作/曾用词</abilityName>
      <candidateList>
        <item>噪声</item>
      </candidateList>
      <explain>词汇[噪音]为不规范表述或旧称，其规范书面表述为[噪声]。</explain>
      <paraID> 9544609</paraID>
      <start>0</start>
      <end>2</end>
      <status>unmodified</status>
      <modifiedWord/>
      <trackRevisions>false</trackRevisions>
    </reviewItem>
    <reviewItem>
      <errorID>c4497701-caf0-454c-aa83-aacc9ccf0834</errorID>
      <errorWord>水土</errorWord>
      <group>L1_Word</group>
      <groupName>字词问题</groupName>
      <ability>L2_Typo</ability>
      <abilityName>字词错误</abilityName>
      <candidateList>
        <item>水体</item>
      </candidateList>
      <explain/>
      <paraID>76A7FED3</paraID>
      <start>5</start>
      <end>7</end>
      <status>unmodified</status>
      <modifiedWord/>
      <trackRevisions>false</trackRevisions>
    </reviewItem>
    <reviewItem>
      <errorID>2655aa6b-f9d3-4a59-b045-a2127e522e22</errorID>
      <errorWord>水土</errorWord>
      <group>L1_Word</group>
      <groupName>字词问题</groupName>
      <ability>L2_Typo</ability>
      <abilityName>字词错误</abilityName>
      <candidateList>
        <item>水体</item>
      </candidateList>
      <explain>存在发音相近字词的误用。</explain>
      <paraID>6FB155D5</paraID>
      <start>5</start>
      <end>7</end>
      <status>unmodified</status>
      <modifiedWord/>
      <trackRevisions>false</trackRevisions>
    </reviewItem>
    <reviewItem>
      <errorID>b43f0643-dd85-4ddb-b033-c5c0a68c10f3</errorID>
      <errorWord>噪音</errorWord>
      <group>L1_Word</group>
      <groupName>字词问题</groupName>
      <ability>L2_Alias</ability>
      <abilityName>也作/曾用词</abilityName>
      <candidateList>
        <item>噪声</item>
      </candidateList>
      <explain>词汇[噪音]为不规范表述或旧称，其规范书面表述为[噪声]。</explain>
      <paraID>4C5B5C99</paraID>
      <start>5</start>
      <end>7</end>
      <status>unmodified</status>
      <modifiedWord/>
      <trackRevisions>false</trackRevisions>
    </reviewItem>
    <reviewItem>
      <errorID>93f49827-4945-4d92-9e2c-078f5f019012</errorID>
      <errorWord>噪音</errorWord>
      <group>L1_Word</group>
      <groupName>字词问题</groupName>
      <ability>L2_Alias</ability>
      <abilityName>也作/曾用词</abilityName>
      <candidateList>
        <item>噪声</item>
      </candidateList>
      <explain>词汇[噪音]为不规范表述或旧称，其规范书面表述为[噪声]。</explain>
      <paraID>1406D54B</paraID>
      <start>70</start>
      <end>72</end>
      <status>unmodified</status>
      <modifiedWord/>
      <trackRevisions>false</trackRevisions>
    </reviewItem>
    <reviewItem>
      <errorID>620a276d-59be-4124-b5bb-25d77991b5a4</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2BA3229B</paraID>
      <start>209</start>
      <end>216</end>
      <status>unmodified</status>
      <modifiedWord/>
      <trackRevisions>false</trackRevisions>
    </reviewItem>
    <reviewItem>
      <errorID>21dea2e1-e1c1-4cbe-b2f5-174a7ef6c3a6</errorID>
      <errorWord>，可</errorWord>
      <group>L1_Word</group>
      <groupName>字词问题</groupName>
      <ability>L2_Typo</ability>
      <abilityName>字词错误</abilityName>
      <candidateList>
        <item>，</item>
      </candidateList>
      <explain/>
      <paraID>65C76E92</paraID>
      <start>49</start>
      <end>51</end>
      <status>unmodified</status>
      <modifiedWord/>
      <trackRevisions>false</trackRevisions>
    </reviewItem>
    <reviewItem>
      <errorID>6bb1b157-7c42-4ec7-ad9f-9db25e4d9a0c</errorID>
      <errorWord>生多</errorWord>
      <group>L1_Word</group>
      <groupName>字词问题</groupName>
      <ability>L2_Typo</ability>
      <abilityName>字词错误</abilityName>
      <candidateList>
        <item>生态</item>
      </candidateList>
      <explain/>
      <paraID> F07D8DC</paraID>
      <start>59</start>
      <end>61</end>
      <status>unmodified</status>
      <modifiedWord/>
      <trackRevisions>false</trackRevisions>
    </reviewItem>
    <reviewItem>
      <errorID>d73614df-51d6-4fb2-b8d1-1f201370e693</errorID>
      <errorWord>增强</errorWord>
      <group>L1_Grammar</group>
      <groupName>语法问题</groupName>
      <ability>L2_Grammar</ability>
      <abilityName>语法错误</abilityName>
      <candidateList>
        <item>提升</item>
      </candidateList>
      <explain>“增强～水平”搭配不当，建议修改为“提升～水平”。</explain>
      <paraID> 4595357</paraID>
      <start>95</start>
      <end>97</end>
      <status>unmodified</status>
      <modifiedWord/>
      <trackRevisions>false</trackRevisions>
    </reviewItem>
    <reviewItem>
      <errorID>f6b1ab83-1d9f-4242-9436-ca3fd2deea94</errorID>
      <errorWord>生多</errorWord>
      <group>L1_Word</group>
      <groupName>字词问题</groupName>
      <ability>L2_Typo</ability>
      <abilityName>字词错误</abilityName>
      <candidateList>
        <item>生态</item>
      </candidateList>
      <explain/>
      <paraID>4B8EF916</paraID>
      <start>116</start>
      <end>118</end>
      <status>unmodified</status>
      <modifiedWord/>
      <trackRevisions>false</trackRevisions>
    </reviewItem>
    <reviewItem>
      <errorID>bf3faa30-280e-4fd2-8f30-442af6e66fd3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570B75</paraID>
      <start>171</start>
      <end>172</end>
      <status>unmodified</status>
      <modifiedWord/>
      <trackRevisions>false</trackRevisions>
    </reviewItem>
    <reviewItem>
      <errorID>4404b62a-a762-44f0-bb73-35480a12652a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692F3169</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DD8F94-2339-47E7-B04D-80E7516E84B8}">
  <ds:schemaRefs/>
</ds:datastoreItem>
</file>

<file path=customXml/itemProps3.xml><?xml version="1.0" encoding="utf-8"?>
<ds:datastoreItem xmlns:ds="http://schemas.openxmlformats.org/officeDocument/2006/customXml" ds:itemID="{9DF7CC86-962B-45EF-9CB8-E99298DC1585}">
  <ds:schemaRefs/>
</ds:datastoreItem>
</file>

<file path=docProps/app.xml><?xml version="1.0" encoding="utf-8"?>
<Properties xmlns="http://schemas.openxmlformats.org/officeDocument/2006/extended-properties" xmlns:vt="http://schemas.openxmlformats.org/officeDocument/2006/docPropsVTypes">
  <Template>Normal.dotm</Template>
  <Pages>55</Pages>
  <Words>4779</Words>
  <Characters>4995</Characters>
  <Lines>579</Lines>
  <Paragraphs>396</Paragraphs>
  <TotalTime>28</TotalTime>
  <ScaleCrop>false</ScaleCrop>
  <LinksUpToDate>false</LinksUpToDate>
  <CharactersWithSpaces>5099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2026-05-29T05:49:00Z</dcterms:created>
  <dc:creator>Zdong</dc:creator>
  <cp:lastModifiedBy>ShenZhaoyi</cp:lastModifiedBy>
  <cp:lastPrinted>2025-11-14T04:46:00Z</cp:lastPrinted>
  <dcterms:modified xsi:type="dcterms:W3CDTF">2026-05-29T07:11:18Z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8D5924C3C8784E53AB42CAD72D38F5DA_13</vt:lpwstr>
  </property>
  <property fmtid="{D5CDD505-2E9C-101B-9397-08002B2CF9AE}" pid="4" name="KSOTemplateDocerSaveRecord">
    <vt:lpwstr>eyJoZGlkIjoiMzYxMTNiZTY4YzYwMTdhZTI2M2Q4ZGQ0MzBiNDdjZDQiLCJ1c2VySWQiOiIxMjQxOTA3Njg1In0=</vt:lpwstr>
  </property>
</Properties>
</file>