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8D49B3">
        <w:rPr>
          <w:rFonts w:hint="eastAsia"/>
          <w:b/>
          <w:sz w:val="36"/>
          <w:szCs w:val="36"/>
        </w:rPr>
        <w:t>第</w:t>
      </w:r>
      <w:r w:rsidR="00DA53E4">
        <w:rPr>
          <w:rFonts w:hint="eastAsia"/>
          <w:b/>
          <w:sz w:val="36"/>
          <w:szCs w:val="36"/>
        </w:rPr>
        <w:t>77</w:t>
      </w:r>
      <w:r w:rsidR="008D49B3">
        <w:rPr>
          <w:rFonts w:hint="eastAsia"/>
          <w:b/>
          <w:sz w:val="36"/>
          <w:szCs w:val="36"/>
        </w:rPr>
        <w:t>期</w:t>
      </w:r>
      <w:r w:rsidRPr="00C26D56">
        <w:rPr>
          <w:rFonts w:hint="eastAsia"/>
          <w:b/>
          <w:sz w:val="36"/>
          <w:szCs w:val="36"/>
        </w:rPr>
        <w:t>”封闭式净值型理财产品</w:t>
      </w:r>
      <w:r w:rsidR="009242FC">
        <w:rPr>
          <w:rFonts w:hint="eastAsia"/>
          <w:b/>
          <w:sz w:val="36"/>
          <w:szCs w:val="36"/>
        </w:rPr>
        <w:t>2022</w:t>
      </w:r>
      <w:r w:rsidRPr="00C26D56">
        <w:rPr>
          <w:rFonts w:hint="eastAsia"/>
          <w:b/>
          <w:sz w:val="36"/>
          <w:szCs w:val="36"/>
        </w:rPr>
        <w:t>年</w:t>
      </w:r>
      <w:r w:rsidR="009A0E7B">
        <w:rPr>
          <w:rFonts w:hint="eastAsia"/>
          <w:b/>
          <w:sz w:val="36"/>
          <w:szCs w:val="36"/>
        </w:rPr>
        <w:t>第二季度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B0361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Pr="00CE3C85">
              <w:rPr>
                <w:rFonts w:cs="宋体"/>
                <w:color w:val="000000"/>
                <w:sz w:val="24"/>
                <w:szCs w:val="24"/>
                <w:lang w:val="en-US" w:bidi="ar-SA"/>
              </w:rPr>
              <w:t>2021年</w:t>
            </w:r>
            <w:r w:rsidR="008D49B3">
              <w:rPr>
                <w:rFonts w:cs="宋体"/>
                <w:color w:val="000000"/>
                <w:sz w:val="24"/>
                <w:szCs w:val="24"/>
                <w:lang w:val="en-US" w:bidi="ar-SA"/>
              </w:rPr>
              <w:t>第</w:t>
            </w:r>
            <w:r w:rsidR="00DA53E4">
              <w:rPr>
                <w:rFonts w:cs="宋体" w:hint="eastAsia"/>
                <w:color w:val="000000"/>
                <w:sz w:val="24"/>
                <w:szCs w:val="24"/>
                <w:lang w:val="en-US" w:bidi="ar-SA"/>
              </w:rPr>
              <w:t>77</w:t>
            </w:r>
            <w:r w:rsidR="008D49B3">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sidRPr="000C381F">
              <w:rPr>
                <w:sz w:val="24"/>
                <w:szCs w:val="24"/>
              </w:rPr>
              <w:t>LX20210</w:t>
            </w:r>
            <w:r w:rsidR="00401EEB">
              <w:rPr>
                <w:rFonts w:hint="eastAsia"/>
                <w:sz w:val="24"/>
                <w:szCs w:val="24"/>
              </w:rPr>
              <w:t>7</w:t>
            </w:r>
            <w:r w:rsidR="00DA53E4">
              <w:rPr>
                <w:rFonts w:hint="eastAsia"/>
                <w:sz w:val="24"/>
                <w:szCs w:val="24"/>
              </w:rPr>
              <w:t>7</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5221F" w:rsidP="00674ADA">
            <w:pPr>
              <w:widowControl/>
              <w:autoSpaceDE/>
              <w:autoSpaceDN/>
              <w:rPr>
                <w:rFonts w:cs="宋体"/>
                <w:color w:val="000000"/>
                <w:sz w:val="24"/>
                <w:szCs w:val="24"/>
                <w:lang w:val="en-US" w:bidi="ar-SA"/>
              </w:rPr>
            </w:pPr>
            <w:r w:rsidRPr="00F5221F">
              <w:rPr>
                <w:sz w:val="24"/>
                <w:szCs w:val="24"/>
              </w:rPr>
              <w:t>C1087721000</w:t>
            </w:r>
            <w:r w:rsidR="00AE7D35">
              <w:rPr>
                <w:rFonts w:hint="eastAsia"/>
                <w:sz w:val="24"/>
                <w:szCs w:val="24"/>
              </w:rPr>
              <w:t>1</w:t>
            </w:r>
            <w:r w:rsidR="002C72ED">
              <w:rPr>
                <w:rFonts w:hint="eastAsia"/>
                <w:sz w:val="24"/>
                <w:szCs w:val="24"/>
              </w:rPr>
              <w:t>6</w:t>
            </w:r>
            <w:r w:rsidR="00DA53E4">
              <w:rPr>
                <w:rFonts w:hint="eastAsia"/>
                <w:sz w:val="24"/>
                <w:szCs w:val="24"/>
              </w:rPr>
              <w:t>1</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2C72ED" w:rsidP="00D409FD">
            <w:pPr>
              <w:widowControl/>
              <w:autoSpaceDE/>
              <w:autoSpaceDN/>
              <w:rPr>
                <w:rFonts w:cs="宋体"/>
                <w:color w:val="000000"/>
                <w:sz w:val="24"/>
                <w:szCs w:val="24"/>
                <w:lang w:val="en-US" w:bidi="ar-SA"/>
              </w:rPr>
            </w:pPr>
            <w:r>
              <w:rPr>
                <w:rFonts w:hint="eastAsia"/>
                <w:sz w:val="24"/>
                <w:szCs w:val="24"/>
              </w:rPr>
              <w:t>5</w:t>
            </w:r>
            <w:r w:rsidR="00E40F64">
              <w:rPr>
                <w:rFonts w:hint="eastAsia"/>
                <w:sz w:val="24"/>
                <w:szCs w:val="24"/>
              </w:rPr>
              <w:t>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2D37C8">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E40F64">
              <w:rPr>
                <w:rFonts w:hint="eastAsia"/>
                <w:sz w:val="24"/>
                <w:szCs w:val="24"/>
              </w:rPr>
              <w:t>9</w:t>
            </w:r>
            <w:r w:rsidR="00425A9B" w:rsidRPr="006838E1">
              <w:rPr>
                <w:sz w:val="24"/>
                <w:szCs w:val="24"/>
              </w:rPr>
              <w:t xml:space="preserve">月 </w:t>
            </w:r>
            <w:r w:rsidR="00674ADA">
              <w:rPr>
                <w:rFonts w:hint="eastAsia"/>
                <w:sz w:val="24"/>
                <w:szCs w:val="24"/>
              </w:rPr>
              <w:t>16</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2C72ED" w:rsidP="00B03613">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sidR="00DA53E4">
              <w:rPr>
                <w:rFonts w:hint="eastAsia"/>
                <w:sz w:val="24"/>
                <w:szCs w:val="24"/>
              </w:rPr>
              <w:t>8</w:t>
            </w:r>
            <w:r w:rsidR="00F30827" w:rsidRPr="006838E1">
              <w:rPr>
                <w:sz w:val="24"/>
                <w:szCs w:val="24"/>
              </w:rPr>
              <w:t xml:space="preserve">月 </w:t>
            </w:r>
            <w:r w:rsidR="00DA53E4">
              <w:rPr>
                <w:rFonts w:hint="eastAsia"/>
                <w:sz w:val="24"/>
                <w:szCs w:val="24"/>
              </w:rPr>
              <w:t>30</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DA53E4" w:rsidP="00B03613">
            <w:pPr>
              <w:widowControl/>
              <w:autoSpaceDE/>
              <w:autoSpaceDN/>
              <w:rPr>
                <w:rFonts w:cs="宋体"/>
                <w:color w:val="000000"/>
                <w:sz w:val="24"/>
                <w:szCs w:val="24"/>
                <w:lang w:val="en-US" w:bidi="ar-SA"/>
              </w:rPr>
            </w:pPr>
            <w:r>
              <w:rPr>
                <w:rFonts w:cs="宋体" w:hint="eastAsia"/>
                <w:color w:val="000000"/>
                <w:sz w:val="24"/>
                <w:szCs w:val="24"/>
                <w:lang w:val="en-US" w:bidi="ar-SA"/>
              </w:rPr>
              <w:t>3.85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DA53E4">
        <w:rPr>
          <w:rFonts w:asciiTheme="minorEastAsia" w:eastAsiaTheme="minorEastAsia" w:hAnsiTheme="minorEastAsia" w:hint="eastAsia"/>
          <w:sz w:val="28"/>
          <w:szCs w:val="28"/>
        </w:rPr>
        <w:t>85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9A0E7B"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Pr>
                <w:rFonts w:ascii="宋体" w:eastAsia="宋体" w:hAnsi="宋体" w:cs="宋体" w:hint="eastAsia"/>
                <w:color w:val="000000" w:themeColor="text1"/>
                <w:lang w:val="en-US" w:bidi="ar-SA"/>
              </w:rPr>
              <w:t>6</w:t>
            </w:r>
            <w:r w:rsidRPr="004624BF">
              <w:rPr>
                <w:rFonts w:ascii="宋体" w:eastAsia="宋体" w:hAnsi="宋体" w:cs="宋体"/>
                <w:color w:val="000000" w:themeColor="text1"/>
                <w:lang w:val="en-US" w:bidi="ar-SA"/>
              </w:rPr>
              <w:t>-3</w:t>
            </w:r>
            <w:r>
              <w:rPr>
                <w:rFonts w:ascii="宋体" w:eastAsia="宋体" w:hAnsi="宋体" w:cs="宋体" w:hint="eastAsia"/>
                <w:color w:val="000000" w:themeColor="text1"/>
                <w:lang w:val="en-US" w:bidi="ar-SA"/>
              </w:rPr>
              <w:t>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9A0E7B" w:rsidP="00CC0C59">
            <w:pPr>
              <w:widowControl/>
              <w:autoSpaceDE/>
              <w:autoSpaceDN/>
              <w:jc w:val="center"/>
              <w:rPr>
                <w:rFonts w:ascii="宋体" w:eastAsia="宋体" w:hAnsi="宋体" w:cs="宋体"/>
                <w:color w:val="000000"/>
                <w:lang w:val="en-US" w:bidi="ar-SA"/>
              </w:rPr>
            </w:pPr>
            <w:r w:rsidRPr="009A0E7B">
              <w:rPr>
                <w:rFonts w:ascii="宋体" w:eastAsia="宋体" w:hAnsi="宋体" w:cs="宋体"/>
                <w:color w:val="000000"/>
                <w:lang w:val="en-US" w:bidi="ar-SA"/>
              </w:rPr>
              <w:t>1.0310</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9A0E7B" w:rsidP="00CC0C59">
            <w:pPr>
              <w:widowControl/>
              <w:autoSpaceDE/>
              <w:autoSpaceDN/>
              <w:jc w:val="center"/>
              <w:rPr>
                <w:rFonts w:ascii="宋体" w:eastAsia="宋体" w:hAnsi="宋体" w:cs="宋体"/>
                <w:color w:val="000000"/>
                <w:lang w:val="en-US" w:bidi="ar-SA"/>
              </w:rPr>
            </w:pPr>
            <w:r w:rsidRPr="009A0E7B">
              <w:rPr>
                <w:rFonts w:ascii="宋体" w:eastAsia="宋体" w:hAnsi="宋体" w:cs="宋体"/>
                <w:color w:val="000000"/>
                <w:lang w:val="en-US" w:bidi="ar-SA"/>
              </w:rPr>
              <w:t>1.0310</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9A0E7B" w:rsidRDefault="00A41165" w:rsidP="009A0E7B">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sz w:val="28"/>
          <w:szCs w:val="28"/>
          <w:lang w:val="en-US"/>
        </w:rPr>
        <w:t>1、</w:t>
      </w:r>
      <w:r w:rsidR="009A0E7B" w:rsidRPr="003A0EEA">
        <w:rPr>
          <w:rFonts w:asciiTheme="minorEastAsia" w:eastAsiaTheme="minorEastAsia" w:hAnsiTheme="minorEastAsia" w:hint="eastAsia"/>
          <w:color w:val="000000" w:themeColor="text1"/>
          <w:sz w:val="28"/>
          <w:szCs w:val="28"/>
          <w:lang w:val="en-US"/>
        </w:rPr>
        <w:t>2022</w:t>
      </w:r>
      <w:r w:rsidR="009A0E7B" w:rsidRPr="003A0EEA">
        <w:rPr>
          <w:rFonts w:asciiTheme="minorEastAsia" w:eastAsiaTheme="minorEastAsia" w:hAnsiTheme="minorEastAsia"/>
          <w:color w:val="000000" w:themeColor="text1"/>
          <w:sz w:val="28"/>
          <w:szCs w:val="28"/>
          <w:lang w:val="en-US"/>
        </w:rPr>
        <w:t>年</w:t>
      </w:r>
      <w:r w:rsidR="009A0E7B">
        <w:rPr>
          <w:rFonts w:asciiTheme="minorEastAsia" w:eastAsiaTheme="minorEastAsia" w:hAnsiTheme="minorEastAsia" w:hint="eastAsia"/>
          <w:color w:val="000000" w:themeColor="text1"/>
          <w:sz w:val="28"/>
          <w:szCs w:val="28"/>
          <w:lang w:val="en-US"/>
        </w:rPr>
        <w:t>二</w:t>
      </w:r>
      <w:r w:rsidR="009A0E7B" w:rsidRPr="003A0EEA">
        <w:rPr>
          <w:rFonts w:asciiTheme="minorEastAsia" w:eastAsiaTheme="minorEastAsia" w:hAnsiTheme="minorEastAsia"/>
          <w:color w:val="000000" w:themeColor="text1"/>
          <w:sz w:val="28"/>
          <w:szCs w:val="28"/>
          <w:lang w:val="en-US"/>
        </w:rPr>
        <w:t>季度经济背</w:t>
      </w:r>
      <w:r w:rsidR="009A0E7B" w:rsidRPr="003A0EEA">
        <w:rPr>
          <w:rFonts w:asciiTheme="minorEastAsia" w:eastAsiaTheme="minorEastAsia" w:hAnsiTheme="minorEastAsia"/>
          <w:color w:val="000000" w:themeColor="text1"/>
          <w:sz w:val="28"/>
          <w:szCs w:val="28"/>
        </w:rPr>
        <w:t>景</w:t>
      </w:r>
    </w:p>
    <w:p w:rsidR="009A0E7B" w:rsidRDefault="009A0E7B" w:rsidP="009A0E7B">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2022年上半年国内生产总值同比增长2.5%，其中二季度同比增长0.4%，顶住压力实现正增长，在全球高通胀背景下保持了物价形势的稳定。</w:t>
      </w:r>
      <w:r w:rsidRPr="003A0EEA">
        <w:rPr>
          <w:rFonts w:asciiTheme="minorEastAsia" w:eastAsiaTheme="minorEastAsia" w:hAnsiTheme="minorEastAsia"/>
          <w:color w:val="000000" w:themeColor="text1"/>
          <w:sz w:val="28"/>
          <w:szCs w:val="28"/>
        </w:rPr>
        <w:t>202</w:t>
      </w:r>
      <w:r w:rsidRPr="003A0EEA">
        <w:rPr>
          <w:rFonts w:asciiTheme="minorEastAsia" w:eastAsiaTheme="minorEastAsia" w:hAnsiTheme="minorEastAsia" w:hint="eastAsia"/>
          <w:color w:val="000000" w:themeColor="text1"/>
          <w:sz w:val="28"/>
          <w:szCs w:val="28"/>
        </w:rPr>
        <w:t>2</w:t>
      </w:r>
      <w:r w:rsidRPr="003A0EEA">
        <w:rPr>
          <w:rFonts w:asciiTheme="minorEastAsia" w:eastAsiaTheme="minorEastAsia" w:hAnsiTheme="minorEastAsia"/>
          <w:color w:val="000000" w:themeColor="text1"/>
          <w:sz w:val="28"/>
          <w:szCs w:val="28"/>
        </w:rPr>
        <w:t>年</w:t>
      </w:r>
      <w:r>
        <w:rPr>
          <w:rFonts w:asciiTheme="minorEastAsia" w:eastAsiaTheme="minorEastAsia" w:hAnsiTheme="minorEastAsia" w:hint="eastAsia"/>
          <w:color w:val="000000" w:themeColor="text1"/>
          <w:sz w:val="28"/>
          <w:szCs w:val="28"/>
        </w:rPr>
        <w:t>当前全球经济增长放缓，通胀高位运行，地缘政治冲突持续，外部环境更趋严峻复杂，国内经济恢复基础尚需稳固，结构性通胀压力可能加大。</w:t>
      </w:r>
    </w:p>
    <w:p w:rsidR="00F73388" w:rsidRDefault="009A0E7B" w:rsidP="009A0E7B">
      <w:pPr>
        <w:spacing w:line="492" w:lineRule="exact"/>
        <w:ind w:firstLineChars="200" w:firstLine="560"/>
        <w:rPr>
          <w:rFonts w:asciiTheme="minorEastAsia" w:eastAsiaTheme="minorEastAsia" w:hAnsiTheme="minorEastAsia"/>
          <w:color w:val="000000" w:themeColor="text1"/>
          <w:spacing w:val="-9"/>
          <w:sz w:val="28"/>
          <w:szCs w:val="28"/>
        </w:rPr>
      </w:pPr>
      <w:r w:rsidRPr="003A0EEA">
        <w:rPr>
          <w:rFonts w:asciiTheme="minorEastAsia" w:eastAsiaTheme="minorEastAsia" w:hAnsiTheme="minorEastAsia" w:hint="eastAsia"/>
          <w:color w:val="000000" w:themeColor="text1"/>
          <w:sz w:val="28"/>
          <w:szCs w:val="28"/>
        </w:rPr>
        <w:t>人民银行将</w:t>
      </w:r>
      <w:r>
        <w:rPr>
          <w:rFonts w:asciiTheme="minorEastAsia" w:eastAsiaTheme="minorEastAsia" w:hAnsiTheme="minorEastAsia" w:hint="eastAsia"/>
          <w:color w:val="000000" w:themeColor="text1"/>
          <w:sz w:val="28"/>
          <w:szCs w:val="28"/>
        </w:rPr>
        <w:t>继续</w:t>
      </w:r>
      <w:r w:rsidRPr="003A0EEA">
        <w:rPr>
          <w:rFonts w:asciiTheme="minorEastAsia" w:eastAsiaTheme="minorEastAsia" w:hAnsiTheme="minorEastAsia" w:hint="eastAsia"/>
          <w:color w:val="000000" w:themeColor="text1"/>
          <w:sz w:val="28"/>
          <w:szCs w:val="28"/>
        </w:rPr>
        <w:t>贯彻落实中央经济工作会议精神，坚持稳字当头、稳中求进，稳健的货币政策灵活适度，加大跨周期调节力度，发挥好货币政策工具的总量和结构双重功能，更加主动有为，更加积极进取，注重靠前发力，引导金融机构加大对实体经济特别是小微企业、科技创新、绿色发展的支持力度</w:t>
      </w:r>
      <w:r>
        <w:rPr>
          <w:rFonts w:asciiTheme="minorEastAsia" w:eastAsiaTheme="minorEastAsia" w:hAnsiTheme="minorEastAsia" w:hint="eastAsia"/>
          <w:color w:val="000000" w:themeColor="text1"/>
          <w:sz w:val="28"/>
          <w:szCs w:val="28"/>
        </w:rPr>
        <w:t>、稳定宏观经济大盘，为推动经济高质量发展营造适宜的货币金融环境</w:t>
      </w:r>
      <w:r w:rsidR="00F73388">
        <w:rPr>
          <w:rFonts w:asciiTheme="minorEastAsia" w:eastAsiaTheme="minorEastAsia" w:hAnsiTheme="minorEastAsia" w:hint="eastAsia"/>
          <w:color w:val="000000" w:themeColor="text1"/>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r w:rsidR="009A0E7B">
        <w:rPr>
          <w:rFonts w:asciiTheme="minorEastAsia" w:eastAsiaTheme="minorEastAsia" w:hAnsiTheme="minorEastAsia" w:hint="eastAsia"/>
          <w:color w:val="000000" w:themeColor="text1"/>
          <w:spacing w:val="-9"/>
          <w:sz w:val="28"/>
          <w:szCs w:val="28"/>
        </w:rPr>
        <w:t>及流动性分析</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w:t>
      </w:r>
      <w:r w:rsidRPr="00873F04">
        <w:rPr>
          <w:rFonts w:asciiTheme="minorEastAsia" w:eastAsiaTheme="minorEastAsia" w:hAnsiTheme="minorEastAsia" w:hint="eastAsia"/>
          <w:color w:val="000000" w:themeColor="text1"/>
          <w:sz w:val="28"/>
          <w:szCs w:val="28"/>
          <w:lang w:val="en-US"/>
        </w:rPr>
        <w:lastRenderedPageBreak/>
        <w:t>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A0E7B" w:rsidP="00F73388">
            <w:pPr>
              <w:widowControl/>
              <w:autoSpaceDE/>
              <w:autoSpaceDN/>
              <w:jc w:val="center"/>
              <w:rPr>
                <w:rFonts w:ascii="宋体" w:eastAsia="宋体" w:hAnsi="宋体" w:cs="宋体"/>
                <w:color w:val="000000"/>
                <w:lang w:val="en-US" w:bidi="ar-SA"/>
              </w:rPr>
            </w:pPr>
            <w:r>
              <w:rPr>
                <w:rFonts w:hint="eastAsia"/>
                <w:color w:val="000000"/>
                <w:lang w:val="en-US" w:bidi="ar-SA"/>
              </w:rPr>
              <w:t>38.91%</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A0E7B" w:rsidP="00F73388">
            <w:pPr>
              <w:widowControl/>
              <w:autoSpaceDE/>
              <w:autoSpaceDN/>
              <w:jc w:val="center"/>
              <w:rPr>
                <w:rFonts w:ascii="宋体" w:eastAsia="宋体" w:hAnsi="宋体" w:cs="宋体"/>
                <w:color w:val="000000"/>
                <w:lang w:val="en-US" w:bidi="ar-SA"/>
              </w:rPr>
            </w:pPr>
            <w:r>
              <w:rPr>
                <w:rFonts w:hint="eastAsia"/>
                <w:color w:val="000000"/>
                <w:lang w:val="en-US" w:bidi="ar-SA"/>
              </w:rPr>
              <w:t>61.09%</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9C20DF" w:rsidTr="00C90A0F">
        <w:trPr>
          <w:trHeight w:val="311"/>
        </w:trPr>
        <w:tc>
          <w:tcPr>
            <w:tcW w:w="1418" w:type="dxa"/>
          </w:tcPr>
          <w:p w:rsidR="009C20DF" w:rsidRDefault="00CC0C59" w:rsidP="00C90A0F">
            <w:pPr>
              <w:pStyle w:val="TableParagraph"/>
              <w:spacing w:before="15" w:line="277" w:lineRule="exact"/>
              <w:ind w:left="6"/>
              <w:rPr>
                <w:lang w:eastAsia="zh-CN"/>
              </w:rPr>
            </w:pPr>
            <w:r>
              <w:rPr>
                <w:rFonts w:hint="eastAsia"/>
                <w:lang w:eastAsia="zh-CN"/>
              </w:rPr>
              <w:t>1</w:t>
            </w:r>
          </w:p>
        </w:tc>
        <w:tc>
          <w:tcPr>
            <w:tcW w:w="2977" w:type="dxa"/>
          </w:tcPr>
          <w:p w:rsidR="009C20DF" w:rsidRPr="00E40F64" w:rsidRDefault="00674ADA" w:rsidP="00F30827">
            <w:pPr>
              <w:pStyle w:val="TableParagraph"/>
              <w:spacing w:before="22"/>
              <w:ind w:left="107"/>
              <w:rPr>
                <w:rFonts w:asciiTheme="minorEastAsia" w:eastAsiaTheme="minorEastAsia" w:hAnsiTheme="minorEastAsia"/>
                <w:lang w:eastAsia="zh-CN"/>
              </w:rPr>
            </w:pPr>
            <w:r w:rsidRPr="00674ADA">
              <w:rPr>
                <w:rFonts w:asciiTheme="minorEastAsia" w:eastAsiaTheme="minorEastAsia" w:hAnsiTheme="minorEastAsia" w:hint="eastAsia"/>
                <w:lang w:eastAsia="zh-CN"/>
              </w:rPr>
              <w:t>融通资本丰泽</w:t>
            </w:r>
            <w:r w:rsidRPr="00674ADA">
              <w:rPr>
                <w:rFonts w:asciiTheme="minorEastAsia" w:eastAsiaTheme="minorEastAsia" w:hAnsiTheme="minorEastAsia"/>
                <w:lang w:eastAsia="zh-CN"/>
              </w:rPr>
              <w:t>2号专项资产管理计划-1621019</w:t>
            </w:r>
          </w:p>
        </w:tc>
        <w:tc>
          <w:tcPr>
            <w:tcW w:w="1701" w:type="dxa"/>
          </w:tcPr>
          <w:p w:rsidR="009C20DF" w:rsidRDefault="009A0E7B" w:rsidP="00F30827">
            <w:pPr>
              <w:pStyle w:val="TableParagraph"/>
              <w:spacing w:before="28"/>
              <w:ind w:left="107"/>
              <w:rPr>
                <w:rFonts w:ascii="Calibri"/>
                <w:sz w:val="21"/>
                <w:lang w:eastAsia="zh-CN"/>
              </w:rPr>
            </w:pPr>
            <w:r>
              <w:rPr>
                <w:rFonts w:ascii="Calibri" w:hint="eastAsia"/>
                <w:sz w:val="21"/>
                <w:lang w:eastAsia="zh-CN"/>
              </w:rPr>
              <w:t>3156674.35</w:t>
            </w:r>
          </w:p>
        </w:tc>
        <w:tc>
          <w:tcPr>
            <w:tcW w:w="1842" w:type="dxa"/>
          </w:tcPr>
          <w:p w:rsidR="009C20DF" w:rsidRDefault="009A0E7B" w:rsidP="00226A1E">
            <w:pPr>
              <w:pStyle w:val="TableParagraph"/>
              <w:spacing w:before="28"/>
              <w:ind w:left="107"/>
              <w:rPr>
                <w:color w:val="000000"/>
                <w:lang w:val="en-US" w:eastAsia="zh-CN" w:bidi="ar-SA"/>
              </w:rPr>
            </w:pPr>
            <w:r>
              <w:rPr>
                <w:rFonts w:hint="eastAsia"/>
                <w:color w:val="000000"/>
                <w:lang w:val="en-US" w:eastAsia="zh-CN" w:bidi="ar-SA"/>
              </w:rPr>
              <w:t>61.09</w:t>
            </w:r>
            <w:r w:rsidR="009C20DF">
              <w:rPr>
                <w:rFonts w:hint="eastAsia"/>
                <w:color w:val="000000"/>
                <w:lang w:val="en-US" w:bidi="ar-SA"/>
              </w:rPr>
              <w:t>%</w:t>
            </w:r>
          </w:p>
        </w:tc>
      </w:tr>
      <w:tr w:rsidR="00F30827" w:rsidRPr="00306EBA" w:rsidTr="00C90A0F">
        <w:trPr>
          <w:trHeight w:val="314"/>
        </w:trPr>
        <w:tc>
          <w:tcPr>
            <w:tcW w:w="1418" w:type="dxa"/>
          </w:tcPr>
          <w:p w:rsidR="00F30827" w:rsidRPr="005938C6" w:rsidRDefault="00CC0C59" w:rsidP="00C90A0F">
            <w:pPr>
              <w:pStyle w:val="TableParagraph"/>
              <w:spacing w:before="15" w:line="279" w:lineRule="exact"/>
              <w:ind w:left="6"/>
              <w:rPr>
                <w:color w:val="000000" w:themeColor="text1"/>
                <w:lang w:eastAsia="zh-CN"/>
              </w:rPr>
            </w:pPr>
            <w:r>
              <w:rPr>
                <w:rFonts w:hint="eastAsia"/>
                <w:color w:val="000000" w:themeColor="text1"/>
                <w:lang w:eastAsia="zh-CN"/>
              </w:rPr>
              <w:t>2</w:t>
            </w:r>
          </w:p>
        </w:tc>
        <w:tc>
          <w:tcPr>
            <w:tcW w:w="2977" w:type="dxa"/>
          </w:tcPr>
          <w:p w:rsidR="00F30827" w:rsidRPr="005938C6" w:rsidRDefault="00B549AA" w:rsidP="00F30827">
            <w:pPr>
              <w:pStyle w:val="TableParagraph"/>
              <w:spacing w:before="22"/>
              <w:ind w:left="107"/>
              <w:rPr>
                <w:color w:val="000000" w:themeColor="text1"/>
                <w:sz w:val="21"/>
                <w:lang w:eastAsia="zh-CN"/>
              </w:rPr>
            </w:pPr>
            <w:r>
              <w:rPr>
                <w:rFonts w:asciiTheme="minorEastAsia" w:eastAsiaTheme="minorEastAsia" w:hAnsiTheme="minorEastAsia" w:hint="eastAsia"/>
                <w:color w:val="000000" w:themeColor="text1"/>
                <w:lang w:eastAsia="zh-CN"/>
              </w:rPr>
              <w:t>吉林环城农商行协议存款</w:t>
            </w:r>
          </w:p>
        </w:tc>
        <w:tc>
          <w:tcPr>
            <w:tcW w:w="1701" w:type="dxa"/>
          </w:tcPr>
          <w:p w:rsidR="00F30827" w:rsidRPr="005938C6" w:rsidRDefault="009A0E7B" w:rsidP="00F30827">
            <w:pPr>
              <w:pStyle w:val="TableParagraph"/>
              <w:spacing w:before="28"/>
              <w:ind w:left="107"/>
              <w:rPr>
                <w:rFonts w:ascii="Calibri"/>
                <w:color w:val="000000" w:themeColor="text1"/>
                <w:sz w:val="21"/>
                <w:lang w:eastAsia="zh-CN"/>
              </w:rPr>
            </w:pPr>
            <w:r>
              <w:rPr>
                <w:rFonts w:ascii="Calibri" w:hint="eastAsia"/>
                <w:color w:val="000000" w:themeColor="text1"/>
                <w:sz w:val="21"/>
                <w:lang w:eastAsia="zh-CN"/>
              </w:rPr>
              <w:t>2010290.77</w:t>
            </w:r>
          </w:p>
        </w:tc>
        <w:tc>
          <w:tcPr>
            <w:tcW w:w="1842" w:type="dxa"/>
          </w:tcPr>
          <w:p w:rsidR="00F30827" w:rsidRPr="005938C6" w:rsidRDefault="009A0E7B" w:rsidP="00226A1E">
            <w:pPr>
              <w:pStyle w:val="TableParagraph"/>
              <w:spacing w:before="28"/>
              <w:ind w:left="107"/>
              <w:rPr>
                <w:rFonts w:ascii="Calibri"/>
                <w:color w:val="000000" w:themeColor="text1"/>
                <w:sz w:val="21"/>
              </w:rPr>
            </w:pPr>
            <w:r>
              <w:rPr>
                <w:rFonts w:hint="eastAsia"/>
                <w:color w:val="000000"/>
                <w:lang w:val="en-US" w:eastAsia="zh-CN" w:bidi="ar-SA"/>
              </w:rPr>
              <w:t>38.91</w:t>
            </w:r>
            <w:r w:rsidR="00A30969">
              <w:rPr>
                <w:rFonts w:hint="eastAsia"/>
                <w:color w:val="000000"/>
                <w:lang w:val="en-US" w:bidi="ar-SA"/>
              </w:rPr>
              <w:t>%</w:t>
            </w:r>
          </w:p>
        </w:tc>
      </w:tr>
    </w:tbl>
    <w:p w:rsidR="00C90A0F" w:rsidRPr="00C26D56" w:rsidRDefault="00C90A0F" w:rsidP="00C90A0F">
      <w:pPr>
        <w:ind w:right="640" w:firstLineChars="1350" w:firstLine="4320"/>
        <w:rPr>
          <w:sz w:val="32"/>
          <w:szCs w:val="32"/>
        </w:rPr>
      </w:pPr>
      <w:r w:rsidRPr="00C26D56">
        <w:rPr>
          <w:rFonts w:hint="eastAsia"/>
          <w:sz w:val="32"/>
          <w:szCs w:val="32"/>
        </w:rPr>
        <w:lastRenderedPageBreak/>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F73388">
        <w:rPr>
          <w:rFonts w:hint="eastAsia"/>
          <w:sz w:val="32"/>
          <w:szCs w:val="32"/>
        </w:rPr>
        <w:t xml:space="preserve">                          </w:t>
      </w:r>
      <w:r w:rsidR="009A0E7B">
        <w:rPr>
          <w:rFonts w:hint="eastAsia"/>
          <w:color w:val="000000" w:themeColor="text1"/>
          <w:sz w:val="32"/>
          <w:szCs w:val="32"/>
        </w:rPr>
        <w:t>2022.7</w:t>
      </w:r>
      <w:r w:rsidR="00226A1E" w:rsidRPr="00CE56ED">
        <w:rPr>
          <w:rFonts w:hint="eastAsia"/>
          <w:color w:val="000000" w:themeColor="text1"/>
          <w:sz w:val="32"/>
          <w:szCs w:val="32"/>
        </w:rPr>
        <w:t>.</w:t>
      </w:r>
      <w:r w:rsidR="009A0E7B">
        <w:rPr>
          <w:rFonts w:hint="eastAsia"/>
          <w:color w:val="000000" w:themeColor="text1"/>
          <w:sz w:val="32"/>
          <w:szCs w:val="32"/>
        </w:rPr>
        <w:t>8</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B21B0" w:rsidRDefault="00EB21B0" w:rsidP="000B133E">
      <w:r>
        <w:separator/>
      </w:r>
    </w:p>
  </w:endnote>
  <w:endnote w:type="continuationSeparator" w:id="1">
    <w:p w:rsidR="00EB21B0" w:rsidRDefault="00EB21B0"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B21B0" w:rsidRDefault="00EB21B0" w:rsidP="000B133E">
      <w:r>
        <w:separator/>
      </w:r>
    </w:p>
  </w:footnote>
  <w:footnote w:type="continuationSeparator" w:id="1">
    <w:p w:rsidR="00EB21B0" w:rsidRDefault="00EB21B0"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81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13E60"/>
    <w:rsid w:val="0002628D"/>
    <w:rsid w:val="0004121D"/>
    <w:rsid w:val="000A6BBA"/>
    <w:rsid w:val="000B133E"/>
    <w:rsid w:val="000C381F"/>
    <w:rsid w:val="000C6D7E"/>
    <w:rsid w:val="000E6514"/>
    <w:rsid w:val="00102222"/>
    <w:rsid w:val="00120D53"/>
    <w:rsid w:val="00120E10"/>
    <w:rsid w:val="0013476A"/>
    <w:rsid w:val="00147C2E"/>
    <w:rsid w:val="001820B1"/>
    <w:rsid w:val="001A0A7B"/>
    <w:rsid w:val="001C1409"/>
    <w:rsid w:val="001F3925"/>
    <w:rsid w:val="002258FC"/>
    <w:rsid w:val="00226A1E"/>
    <w:rsid w:val="00264A5F"/>
    <w:rsid w:val="00266107"/>
    <w:rsid w:val="0029003A"/>
    <w:rsid w:val="002C72ED"/>
    <w:rsid w:val="002D37C8"/>
    <w:rsid w:val="002D42B1"/>
    <w:rsid w:val="002F108B"/>
    <w:rsid w:val="003059DF"/>
    <w:rsid w:val="00310492"/>
    <w:rsid w:val="00331CE2"/>
    <w:rsid w:val="003400D8"/>
    <w:rsid w:val="00362548"/>
    <w:rsid w:val="00371E38"/>
    <w:rsid w:val="003A377B"/>
    <w:rsid w:val="003C7A7C"/>
    <w:rsid w:val="00401EEB"/>
    <w:rsid w:val="00425A9B"/>
    <w:rsid w:val="00435AF9"/>
    <w:rsid w:val="00441819"/>
    <w:rsid w:val="00483E5A"/>
    <w:rsid w:val="0048443D"/>
    <w:rsid w:val="004854C2"/>
    <w:rsid w:val="004856B7"/>
    <w:rsid w:val="004D07F1"/>
    <w:rsid w:val="004E3DF2"/>
    <w:rsid w:val="0050015F"/>
    <w:rsid w:val="005127E5"/>
    <w:rsid w:val="005177EC"/>
    <w:rsid w:val="00540DE2"/>
    <w:rsid w:val="005471DE"/>
    <w:rsid w:val="00554866"/>
    <w:rsid w:val="00574480"/>
    <w:rsid w:val="005931A1"/>
    <w:rsid w:val="005F683C"/>
    <w:rsid w:val="00604403"/>
    <w:rsid w:val="00607E50"/>
    <w:rsid w:val="006310E4"/>
    <w:rsid w:val="00653F17"/>
    <w:rsid w:val="00656C9B"/>
    <w:rsid w:val="00673A11"/>
    <w:rsid w:val="00674ADA"/>
    <w:rsid w:val="006831C4"/>
    <w:rsid w:val="006935A2"/>
    <w:rsid w:val="00717E49"/>
    <w:rsid w:val="00780F7B"/>
    <w:rsid w:val="00790E37"/>
    <w:rsid w:val="00812D23"/>
    <w:rsid w:val="00813300"/>
    <w:rsid w:val="00813547"/>
    <w:rsid w:val="00837414"/>
    <w:rsid w:val="00873F04"/>
    <w:rsid w:val="00894E5A"/>
    <w:rsid w:val="008A09CE"/>
    <w:rsid w:val="008D49B3"/>
    <w:rsid w:val="008E2EE0"/>
    <w:rsid w:val="00906DF8"/>
    <w:rsid w:val="009140FC"/>
    <w:rsid w:val="009242FC"/>
    <w:rsid w:val="00936E75"/>
    <w:rsid w:val="0093754A"/>
    <w:rsid w:val="00955F04"/>
    <w:rsid w:val="009924B9"/>
    <w:rsid w:val="009A0E7B"/>
    <w:rsid w:val="009A29CA"/>
    <w:rsid w:val="009B7B85"/>
    <w:rsid w:val="009C20DF"/>
    <w:rsid w:val="009F0B83"/>
    <w:rsid w:val="009F6B8D"/>
    <w:rsid w:val="00A10FE9"/>
    <w:rsid w:val="00A131ED"/>
    <w:rsid w:val="00A30969"/>
    <w:rsid w:val="00A41165"/>
    <w:rsid w:val="00A62417"/>
    <w:rsid w:val="00A77D6B"/>
    <w:rsid w:val="00A84386"/>
    <w:rsid w:val="00AA1B91"/>
    <w:rsid w:val="00AE7D35"/>
    <w:rsid w:val="00B003F3"/>
    <w:rsid w:val="00B03613"/>
    <w:rsid w:val="00B06EA0"/>
    <w:rsid w:val="00B108B4"/>
    <w:rsid w:val="00B1274E"/>
    <w:rsid w:val="00B43A4E"/>
    <w:rsid w:val="00B549AA"/>
    <w:rsid w:val="00B62EC1"/>
    <w:rsid w:val="00B8264D"/>
    <w:rsid w:val="00B83DFB"/>
    <w:rsid w:val="00B907A8"/>
    <w:rsid w:val="00B95B89"/>
    <w:rsid w:val="00BB3B19"/>
    <w:rsid w:val="00BC42F2"/>
    <w:rsid w:val="00C40DF2"/>
    <w:rsid w:val="00C55D0B"/>
    <w:rsid w:val="00C740B4"/>
    <w:rsid w:val="00C90A0F"/>
    <w:rsid w:val="00CA1803"/>
    <w:rsid w:val="00CB24A9"/>
    <w:rsid w:val="00CB3582"/>
    <w:rsid w:val="00CC0C59"/>
    <w:rsid w:val="00CE3C85"/>
    <w:rsid w:val="00D12FAC"/>
    <w:rsid w:val="00D30694"/>
    <w:rsid w:val="00D30B86"/>
    <w:rsid w:val="00D409FD"/>
    <w:rsid w:val="00D5569E"/>
    <w:rsid w:val="00D80A1C"/>
    <w:rsid w:val="00DA53E4"/>
    <w:rsid w:val="00E27944"/>
    <w:rsid w:val="00E40F64"/>
    <w:rsid w:val="00E51586"/>
    <w:rsid w:val="00E750D5"/>
    <w:rsid w:val="00EA47C2"/>
    <w:rsid w:val="00EB04F3"/>
    <w:rsid w:val="00EB21B0"/>
    <w:rsid w:val="00EB337B"/>
    <w:rsid w:val="00ED1B04"/>
    <w:rsid w:val="00EE5B1C"/>
    <w:rsid w:val="00F24E24"/>
    <w:rsid w:val="00F30827"/>
    <w:rsid w:val="00F42637"/>
    <w:rsid w:val="00F474BA"/>
    <w:rsid w:val="00F50E1D"/>
    <w:rsid w:val="00F5221F"/>
    <w:rsid w:val="00F60300"/>
    <w:rsid w:val="00F73388"/>
    <w:rsid w:val="00FB0FFD"/>
    <w:rsid w:val="00FC64F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338</Words>
  <Characters>1928</Characters>
  <Application>Microsoft Office Word</Application>
  <DocSecurity>0</DocSecurity>
  <Lines>16</Lines>
  <Paragraphs>4</Paragraphs>
  <ScaleCrop>false</ScaleCrop>
  <Company>china</Company>
  <LinksUpToDate>false</LinksUpToDate>
  <CharactersWithSpaces>2262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2022-09-19T07:17:00Z</dcterms:created>
  <dcterms:modified xsi:type="dcterms:W3CDTF">2022-09-19T07:17:00Z</dcterms:modified>
</cp:coreProperties>
</file>